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B440B">
      <w:pPr>
        <w:spacing w:after="120"/>
        <w:ind w:left="1985" w:hanging="1985"/>
        <w:rPr>
          <w:rFonts w:hint="default"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w:t>
      </w:r>
      <w:r>
        <w:rPr>
          <w:rFonts w:hint="eastAsia" w:ascii="Arial" w:hAnsi="Arial" w:cs="Arial" w:eastAsiaTheme="minorEastAsia"/>
          <w:b/>
          <w:sz w:val="24"/>
          <w:szCs w:val="24"/>
          <w:lang w:val="en-US" w:eastAsia="zh-CN"/>
        </w:rPr>
        <w:t>114bis</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lang w:val="en-US" w:eastAsia="zh-CN"/>
        </w:rPr>
        <w:tab/>
      </w:r>
      <w:r>
        <w:rPr>
          <w:rFonts w:ascii="Arial" w:hAnsi="Arial" w:cs="Arial" w:eastAsiaTheme="minorEastAsia"/>
          <w:b/>
          <w:sz w:val="24"/>
          <w:szCs w:val="24"/>
          <w:lang w:eastAsia="zh-CN"/>
        </w:rPr>
        <w:t>R4-2</w:t>
      </w:r>
      <w:r>
        <w:rPr>
          <w:rFonts w:hint="eastAsia" w:ascii="Arial" w:hAnsi="Arial" w:cs="Arial" w:eastAsiaTheme="minorEastAsia"/>
          <w:b/>
          <w:sz w:val="24"/>
          <w:szCs w:val="24"/>
          <w:lang w:val="en-US" w:eastAsia="zh-CN"/>
        </w:rPr>
        <w:t>504924</w:t>
      </w:r>
      <w:bookmarkStart w:id="2" w:name="_GoBack"/>
      <w:bookmarkEnd w:id="2"/>
    </w:p>
    <w:p w14:paraId="5E30231A">
      <w:pPr>
        <w:pStyle w:val="39"/>
        <w:tabs>
          <w:tab w:val="right" w:pos="9781"/>
          <w:tab w:val="right" w:pos="13323"/>
        </w:tabs>
        <w:spacing w:before="60" w:after="60"/>
        <w:outlineLvl w:val="0"/>
        <w:rPr>
          <w:rFonts w:cs="Arial"/>
          <w:sz w:val="24"/>
          <w:szCs w:val="24"/>
          <w:lang w:eastAsia="zh-CN"/>
        </w:rPr>
      </w:pPr>
      <w:r>
        <w:rPr>
          <w:rFonts w:hint="eastAsia" w:cs="Arial"/>
          <w:sz w:val="24"/>
          <w:szCs w:val="24"/>
          <w:lang w:val="en-US" w:eastAsia="zh-CN"/>
        </w:rPr>
        <w:t>Wuhan</w:t>
      </w:r>
      <w:r>
        <w:rPr>
          <w:rFonts w:cs="Arial"/>
          <w:sz w:val="24"/>
          <w:szCs w:val="24"/>
          <w:lang w:eastAsia="zh-CN"/>
        </w:rPr>
        <w:t xml:space="preserve">, </w:t>
      </w:r>
      <w:r>
        <w:rPr>
          <w:rFonts w:hint="eastAsia" w:cs="Arial"/>
          <w:sz w:val="24"/>
          <w:szCs w:val="24"/>
          <w:lang w:val="en-US" w:eastAsia="zh-CN"/>
        </w:rPr>
        <w:t>China</w:t>
      </w:r>
      <w:r>
        <w:rPr>
          <w:rFonts w:cs="Arial"/>
          <w:sz w:val="24"/>
          <w:szCs w:val="24"/>
          <w:lang w:eastAsia="zh-CN"/>
        </w:rPr>
        <w:t>, 7</w:t>
      </w:r>
      <w:r>
        <w:rPr>
          <w:rFonts w:cs="Arial"/>
          <w:sz w:val="24"/>
          <w:szCs w:val="24"/>
          <w:vertAlign w:val="superscript"/>
          <w:lang w:eastAsia="zh-CN"/>
        </w:rPr>
        <w:t>th</w:t>
      </w:r>
      <w:r>
        <w:rPr>
          <w:rFonts w:cs="Arial"/>
          <w:sz w:val="24"/>
          <w:szCs w:val="24"/>
          <w:lang w:eastAsia="zh-CN"/>
        </w:rPr>
        <w:t xml:space="preserve"> – </w:t>
      </w:r>
      <w:r>
        <w:rPr>
          <w:rFonts w:hint="eastAsia" w:cs="Arial"/>
          <w:sz w:val="24"/>
          <w:szCs w:val="24"/>
          <w:lang w:val="en-US" w:eastAsia="zh-CN"/>
        </w:rPr>
        <w:t>1</w:t>
      </w:r>
      <w:r>
        <w:rPr>
          <w:rFonts w:cs="Arial"/>
          <w:sz w:val="24"/>
          <w:szCs w:val="24"/>
          <w:lang w:eastAsia="zh-CN"/>
        </w:rPr>
        <w:t>1</w:t>
      </w:r>
      <w:r>
        <w:rPr>
          <w:rFonts w:cs="Arial"/>
          <w:sz w:val="24"/>
          <w:szCs w:val="24"/>
          <w:vertAlign w:val="superscript"/>
          <w:lang w:eastAsia="zh-CN"/>
        </w:rPr>
        <w:t>t</w:t>
      </w:r>
      <w:r>
        <w:rPr>
          <w:rFonts w:hint="eastAsia" w:cs="Arial"/>
          <w:sz w:val="24"/>
          <w:szCs w:val="24"/>
          <w:vertAlign w:val="superscript"/>
          <w:lang w:val="en-US" w:eastAsia="zh-CN"/>
        </w:rPr>
        <w:t>h</w:t>
      </w:r>
      <w:r>
        <w:rPr>
          <w:rFonts w:cs="Arial"/>
          <w:sz w:val="24"/>
          <w:szCs w:val="24"/>
          <w:lang w:eastAsia="zh-CN"/>
        </w:rPr>
        <w:t xml:space="preserve"> </w:t>
      </w:r>
      <w:r>
        <w:rPr>
          <w:rFonts w:hint="eastAsia" w:cs="Arial"/>
          <w:sz w:val="24"/>
          <w:szCs w:val="24"/>
          <w:lang w:val="en-US" w:eastAsia="zh-CN"/>
        </w:rPr>
        <w:t>April</w:t>
      </w:r>
      <w:r>
        <w:rPr>
          <w:rFonts w:cs="Arial"/>
          <w:sz w:val="24"/>
          <w:szCs w:val="24"/>
          <w:lang w:eastAsia="zh-CN"/>
        </w:rPr>
        <w:t>, 2025</w:t>
      </w:r>
    </w:p>
    <w:p w14:paraId="52E6C119">
      <w:pPr>
        <w:spacing w:after="120"/>
        <w:ind w:left="1985" w:hanging="1985"/>
        <w:rPr>
          <w:rFonts w:ascii="Arial" w:hAnsi="Arial" w:eastAsia="MS Mincho" w:cs="Arial"/>
          <w:b/>
          <w:sz w:val="22"/>
        </w:rPr>
      </w:pPr>
    </w:p>
    <w:p w14:paraId="619F2A6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7.12.7</w:t>
      </w:r>
    </w:p>
    <w:p w14:paraId="0E403F3D">
      <w:pPr>
        <w:spacing w:after="120"/>
        <w:ind w:left="1985" w:hanging="1985"/>
        <w:rPr>
          <w:rFonts w:ascii="Arial" w:hAnsi="Arial" w:cs="Arial" w:eastAsiaTheme="minorEastAsia"/>
          <w:color w:val="000000"/>
          <w:sz w:val="22"/>
          <w:lang w:val="en-US" w:eastAsia="zh-CN"/>
        </w:rPr>
      </w:pPr>
      <w:r>
        <w:rPr>
          <w:rFonts w:ascii="Arial" w:hAnsi="Arial" w:eastAsia="MS Mincho" w:cs="Arial"/>
          <w:b/>
          <w:sz w:val="22"/>
        </w:rPr>
        <w:t>Source:</w:t>
      </w:r>
      <w:r>
        <w:rPr>
          <w:rFonts w:ascii="Arial" w:hAnsi="Arial" w:eastAsia="MS Mincho" w:cs="Arial"/>
          <w:b/>
          <w:sz w:val="22"/>
        </w:rPr>
        <w:tab/>
      </w:r>
      <w:r>
        <w:rPr>
          <w:rFonts w:hint="eastAsia" w:ascii="Arial" w:hAnsi="Arial" w:cs="Arial" w:eastAsiaTheme="minorEastAsia"/>
          <w:color w:val="000000"/>
          <w:sz w:val="22"/>
          <w:lang w:val="en-US" w:eastAsia="zh-CN"/>
        </w:rPr>
        <w:t>Moderator (CMCC)</w:t>
      </w:r>
    </w:p>
    <w:p w14:paraId="5A34FEE8">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 Coffee break discussion minutes on NR_ATG_enh</w:t>
      </w:r>
    </w:p>
    <w:p w14:paraId="5E3C5B39">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14:paraId="2EFA872C">
      <w:pPr>
        <w:rPr>
          <w:rFonts w:hint="eastAsia"/>
          <w:b/>
          <w:color w:val="0070C0"/>
          <w:u w:val="single"/>
          <w:lang w:val="en-US" w:eastAsia="zh-CN"/>
        </w:rPr>
      </w:pPr>
    </w:p>
    <w:p w14:paraId="7236AFB2">
      <w:pPr>
        <w:rPr>
          <w:b/>
          <w:color w:val="0070C0"/>
          <w:u w:val="single"/>
          <w:lang w:val="en-US" w:eastAsia="zh-CN"/>
        </w:rPr>
      </w:pPr>
      <w:r>
        <w:rPr>
          <w:rFonts w:hint="eastAsia"/>
          <w:b/>
          <w:color w:val="0070C0"/>
          <w:u w:val="single"/>
          <w:lang w:val="en-US" w:eastAsia="zh-CN"/>
        </w:rPr>
        <w:t>Issue 2-1-1: Measurement accuracy</w:t>
      </w:r>
    </w:p>
    <w:p w14:paraId="60849AE7">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2F7B172F">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w:t>
      </w:r>
      <w:r>
        <w:rPr>
          <w:rFonts w:eastAsia="宋体"/>
          <w:color w:val="0070C0"/>
          <w:szCs w:val="24"/>
          <w:lang w:val="en-US" w:eastAsia="zh-CN"/>
        </w:rPr>
        <w:t>1</w:t>
      </w:r>
      <w:r>
        <w:rPr>
          <w:rFonts w:hint="eastAsia" w:eastAsia="宋体"/>
          <w:color w:val="0070C0"/>
          <w:szCs w:val="24"/>
          <w:lang w:val="en-US" w:eastAsia="zh-CN"/>
        </w:rPr>
        <w:t>: (CMCC, CATT, ZTE)</w:t>
      </w:r>
    </w:p>
    <w:p w14:paraId="29594CB1">
      <w:pPr>
        <w:pStyle w:val="150"/>
        <w:numPr>
          <w:ilvl w:val="2"/>
          <w:numId w:val="4"/>
        </w:numPr>
        <w:overflowPunct/>
        <w:autoSpaceDE/>
        <w:autoSpaceDN/>
        <w:adjustRightInd/>
        <w:spacing w:after="120"/>
        <w:ind w:left="1860" w:firstLineChars="0"/>
        <w:textAlignment w:val="auto"/>
        <w:rPr>
          <w:rFonts w:eastAsia="宋体"/>
          <w:color w:val="0570C0"/>
          <w:szCs w:val="24"/>
          <w:lang w:val="en-US" w:eastAsia="zh-CN"/>
        </w:rPr>
      </w:pPr>
      <w:r>
        <w:rPr>
          <w:rFonts w:hint="eastAsia"/>
          <w:bCs/>
          <w:color w:val="0570C0"/>
          <w:lang w:val="en-US" w:eastAsia="zh-CN"/>
        </w:rPr>
        <w:t>For ATG L1/L3 measurement of SCell/SCC, r</w:t>
      </w:r>
      <w:r>
        <w:rPr>
          <w:rFonts w:hint="eastAsia"/>
          <w:bCs/>
          <w:color w:val="0570C0"/>
        </w:rPr>
        <w:t>euse the Es/Iot side condition and measurement accuracy requirement of legacy TN network.</w:t>
      </w:r>
      <w:r>
        <w:rPr>
          <w:rFonts w:hint="eastAsia" w:eastAsia="宋体"/>
          <w:color w:val="0570C0"/>
          <w:szCs w:val="24"/>
          <w:lang w:val="en-US" w:eastAsia="zh-CN"/>
        </w:rPr>
        <w:t xml:space="preserve"> </w:t>
      </w:r>
    </w:p>
    <w:p w14:paraId="032AC39A">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77209386">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Check whether Proposal 1 can be agreed.</w:t>
      </w:r>
    </w:p>
    <w:p w14:paraId="02CF0A69">
      <w:pPr>
        <w:rPr>
          <w:rFonts w:hint="eastAsia"/>
          <w:b w:val="0"/>
          <w:bCs/>
          <w:color w:val="000000" w:themeColor="text1"/>
          <w:u w:val="none"/>
          <w:lang w:val="en-US" w:eastAsia="zh-CN"/>
          <w14:textFill>
            <w14:solidFill>
              <w14:schemeClr w14:val="tx1"/>
            </w14:solidFill>
          </w14:textFill>
        </w:rPr>
      </w:pPr>
      <w:r>
        <w:rPr>
          <w:rFonts w:hint="eastAsia"/>
          <w:b w:val="0"/>
          <w:bCs/>
          <w:color w:val="000000" w:themeColor="text1"/>
          <w:u w:val="none"/>
          <w:lang w:val="en-US" w:eastAsia="zh-CN"/>
          <w14:textFill>
            <w14:solidFill>
              <w14:schemeClr w14:val="tx1"/>
            </w14:solidFill>
          </w14:textFill>
        </w:rPr>
        <w:t>Ericsson: Support</w:t>
      </w:r>
    </w:p>
    <w:p w14:paraId="2A2612BC">
      <w:pPr>
        <w:rPr>
          <w:rFonts w:hint="eastAsia"/>
          <w:b w:val="0"/>
          <w:bCs/>
          <w:color w:val="000000" w:themeColor="text1"/>
          <w:highlight w:val="green"/>
          <w:u w:val="none"/>
          <w:lang w:val="en-US" w:eastAsia="zh-CN"/>
          <w14:textFill>
            <w14:solidFill>
              <w14:schemeClr w14:val="tx1"/>
            </w14:solidFill>
          </w14:textFill>
        </w:rPr>
      </w:pPr>
      <w:r>
        <w:rPr>
          <w:rFonts w:hint="eastAsia"/>
          <w:b w:val="0"/>
          <w:bCs/>
          <w:color w:val="000000" w:themeColor="text1"/>
          <w:highlight w:val="green"/>
          <w:u w:val="none"/>
          <w:lang w:val="en-US" w:eastAsia="zh-CN"/>
          <w14:textFill>
            <w14:solidFill>
              <w14:schemeClr w14:val="tx1"/>
            </w14:solidFill>
          </w14:textFill>
        </w:rPr>
        <w:t>Agreement: </w:t>
      </w:r>
    </w:p>
    <w:p w14:paraId="16B00381">
      <w:pPr>
        <w:rPr>
          <w:rFonts w:hint="eastAsia"/>
          <w:b w:val="0"/>
          <w:bCs/>
          <w:color w:val="000000" w:themeColor="text1"/>
          <w:u w:val="none"/>
          <w:lang w:val="en-US" w:eastAsia="zh-CN"/>
          <w14:textFill>
            <w14:solidFill>
              <w14:schemeClr w14:val="tx1"/>
            </w14:solidFill>
          </w14:textFill>
        </w:rPr>
      </w:pPr>
      <w:r>
        <w:rPr>
          <w:rFonts w:hint="eastAsia"/>
          <w:b w:val="0"/>
          <w:bCs/>
          <w:color w:val="000000" w:themeColor="text1"/>
          <w:u w:val="none"/>
          <w:lang w:val="en-US" w:eastAsia="zh-CN"/>
          <w14:textFill>
            <w14:solidFill>
              <w14:schemeClr w14:val="tx1"/>
            </w14:solidFill>
          </w14:textFill>
        </w:rPr>
        <w:t xml:space="preserve">For ATG L1/L3 measurement of SCell/SCC, reuse the Es/Iot side condition and measurement accuracy requirement of legacy TN network. </w:t>
      </w:r>
    </w:p>
    <w:p w14:paraId="0B87EF99">
      <w:pPr>
        <w:rPr>
          <w:rFonts w:hint="default"/>
          <w:b w:val="0"/>
          <w:bCs/>
          <w:color w:val="000000" w:themeColor="text1"/>
          <w:u w:val="none"/>
          <w:lang w:val="en-US" w:eastAsia="zh-CN"/>
          <w14:textFill>
            <w14:solidFill>
              <w14:schemeClr w14:val="tx1"/>
            </w14:solidFill>
          </w14:textFill>
        </w:rPr>
      </w:pPr>
    </w:p>
    <w:p w14:paraId="00BD8BC7">
      <w:pPr>
        <w:rPr>
          <w:b/>
          <w:color w:val="0070C0"/>
          <w:u w:val="single"/>
          <w:lang w:val="en-US" w:eastAsia="zh-CN"/>
        </w:rPr>
      </w:pPr>
      <w:r>
        <w:rPr>
          <w:rFonts w:hint="eastAsia"/>
          <w:b/>
          <w:color w:val="0070C0"/>
          <w:u w:val="single"/>
          <w:lang w:val="en-US" w:eastAsia="zh-CN"/>
        </w:rPr>
        <w:t>Issue 2-2-1: Test configuration</w:t>
      </w:r>
    </w:p>
    <w:p w14:paraId="7ECF6C8A">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38C31086">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w:t>
      </w:r>
      <w:r>
        <w:rPr>
          <w:rFonts w:eastAsia="宋体"/>
          <w:color w:val="0070C0"/>
          <w:szCs w:val="24"/>
          <w:lang w:val="en-US" w:eastAsia="zh-CN"/>
        </w:rPr>
        <w:t>1</w:t>
      </w:r>
      <w:r>
        <w:rPr>
          <w:rFonts w:hint="eastAsia" w:eastAsia="宋体"/>
          <w:color w:val="0070C0"/>
          <w:szCs w:val="24"/>
          <w:lang w:val="en-US" w:eastAsia="zh-CN"/>
        </w:rPr>
        <w:t>: (CMCC, ZTE, Ericsson)</w:t>
      </w:r>
    </w:p>
    <w:p w14:paraId="39274B00">
      <w:pPr>
        <w:pStyle w:val="150"/>
        <w:numPr>
          <w:ilvl w:val="2"/>
          <w:numId w:val="4"/>
        </w:numPr>
        <w:overflowPunct/>
        <w:autoSpaceDE/>
        <w:autoSpaceDN/>
        <w:adjustRightInd/>
        <w:spacing w:after="120"/>
        <w:ind w:left="1860" w:firstLineChars="0"/>
        <w:textAlignment w:val="auto"/>
        <w:rPr>
          <w:bCs/>
          <w:color w:val="0570C0"/>
          <w:lang w:val="en-US" w:eastAsia="zh-CN"/>
        </w:rPr>
      </w:pPr>
      <w:r>
        <w:rPr>
          <w:rFonts w:hint="eastAsia"/>
          <w:bCs/>
          <w:color w:val="0570C0"/>
          <w:lang w:val="en-US" w:eastAsia="zh-CN"/>
        </w:rPr>
        <w:t>Following three test configurations are supported for both PCell and SCell:</w:t>
      </w:r>
    </w:p>
    <w:p w14:paraId="0B70C3CB">
      <w:pPr>
        <w:pStyle w:val="150"/>
        <w:numPr>
          <w:ilvl w:val="3"/>
          <w:numId w:val="4"/>
        </w:numPr>
        <w:overflowPunct/>
        <w:autoSpaceDE/>
        <w:autoSpaceDN/>
        <w:adjustRightInd/>
        <w:spacing w:after="120"/>
        <w:ind w:left="2280" w:firstLineChars="0"/>
        <w:textAlignment w:val="auto"/>
        <w:rPr>
          <w:bCs/>
          <w:color w:val="0570C0"/>
          <w:lang w:val="en-US" w:eastAsia="zh-CN"/>
        </w:rPr>
      </w:pPr>
      <w:r>
        <w:rPr>
          <w:rFonts w:hint="eastAsia"/>
          <w:bCs/>
          <w:color w:val="0570C0"/>
          <w:lang w:val="en-US" w:eastAsia="zh-CN"/>
        </w:rPr>
        <w:t>Configuration 1:15kHz SSB SCS, 10MHz bandwidth, FDD duplex mode</w:t>
      </w:r>
    </w:p>
    <w:p w14:paraId="2D9626FA">
      <w:pPr>
        <w:pStyle w:val="150"/>
        <w:numPr>
          <w:ilvl w:val="3"/>
          <w:numId w:val="4"/>
        </w:numPr>
        <w:overflowPunct/>
        <w:autoSpaceDE/>
        <w:autoSpaceDN/>
        <w:adjustRightInd/>
        <w:spacing w:after="120"/>
        <w:ind w:left="2280" w:firstLineChars="0"/>
        <w:textAlignment w:val="auto"/>
        <w:rPr>
          <w:bCs/>
          <w:color w:val="0570C0"/>
          <w:lang w:val="en-US" w:eastAsia="zh-CN"/>
        </w:rPr>
      </w:pPr>
      <w:r>
        <w:rPr>
          <w:rFonts w:hint="eastAsia"/>
          <w:bCs/>
          <w:color w:val="0570C0"/>
          <w:lang w:val="en-US" w:eastAsia="zh-CN"/>
        </w:rPr>
        <w:t>Configuration 2: 30kHz SSB SCS, 40MHz bandwidth, TDD duplex mode</w:t>
      </w:r>
    </w:p>
    <w:p w14:paraId="4BF91927">
      <w:pPr>
        <w:pStyle w:val="150"/>
        <w:numPr>
          <w:ilvl w:val="3"/>
          <w:numId w:val="4"/>
        </w:numPr>
        <w:overflowPunct/>
        <w:autoSpaceDE/>
        <w:autoSpaceDN/>
        <w:adjustRightInd/>
        <w:spacing w:after="120"/>
        <w:ind w:left="2280" w:firstLineChars="0"/>
        <w:textAlignment w:val="auto"/>
        <w:rPr>
          <w:bCs/>
          <w:color w:val="0570C0"/>
          <w:lang w:val="en-US" w:eastAsia="zh-CN"/>
        </w:rPr>
      </w:pPr>
      <w:r>
        <w:rPr>
          <w:rFonts w:hint="eastAsia"/>
          <w:bCs/>
          <w:color w:val="0570C0"/>
          <w:lang w:val="en-US" w:eastAsia="zh-CN"/>
        </w:rPr>
        <w:t>Configuration 3: 15kHz SSB SCS, 10MHz bandwidth, TDD duplex mode</w:t>
      </w:r>
    </w:p>
    <w:p w14:paraId="131B424A">
      <w:pPr>
        <w:pStyle w:val="150"/>
        <w:numPr>
          <w:ilvl w:val="4"/>
          <w:numId w:val="4"/>
        </w:numPr>
        <w:overflowPunct/>
        <w:autoSpaceDE/>
        <w:autoSpaceDN/>
        <w:adjustRightInd/>
        <w:spacing w:after="120"/>
        <w:ind w:left="2700" w:firstLineChars="0"/>
        <w:textAlignment w:val="auto"/>
        <w:rPr>
          <w:bCs/>
          <w:color w:val="0570C0"/>
          <w:lang w:val="en-US" w:eastAsia="zh-CN"/>
        </w:rPr>
      </w:pPr>
      <w:r>
        <w:rPr>
          <w:rFonts w:hint="eastAsia"/>
          <w:bCs/>
          <w:color w:val="0570C0"/>
          <w:lang w:val="en-US" w:eastAsia="zh-CN"/>
        </w:rPr>
        <w:t>If legacy TN test cases don</w:t>
      </w:r>
      <w:r>
        <w:rPr>
          <w:bCs/>
          <w:color w:val="0570C0"/>
          <w:lang w:val="en-US" w:eastAsia="zh-CN"/>
        </w:rPr>
        <w:t>’</w:t>
      </w:r>
      <w:r>
        <w:rPr>
          <w:rFonts w:hint="eastAsia"/>
          <w:bCs/>
          <w:color w:val="0570C0"/>
          <w:lang w:val="en-US" w:eastAsia="zh-CN"/>
        </w:rPr>
        <w:t>t have this test configuration, then no need to introduce it into the corresponding ATG test cases.</w:t>
      </w:r>
    </w:p>
    <w:p w14:paraId="0359E468">
      <w:pPr>
        <w:pStyle w:val="150"/>
        <w:numPr>
          <w:ilvl w:val="1"/>
          <w:numId w:val="4"/>
        </w:numPr>
        <w:overflowPunct/>
        <w:autoSpaceDE/>
        <w:autoSpaceDN/>
        <w:adjustRightInd/>
        <w:spacing w:after="120"/>
        <w:ind w:left="1440" w:firstLineChars="0"/>
        <w:textAlignment w:val="auto"/>
        <w:rPr>
          <w:bCs/>
          <w:color w:val="0570C0"/>
          <w:lang w:val="en-US" w:eastAsia="zh-CN"/>
        </w:rPr>
      </w:pPr>
      <w:r>
        <w:rPr>
          <w:rFonts w:hint="eastAsia"/>
          <w:bCs/>
          <w:color w:val="0570C0"/>
          <w:lang w:val="en-US" w:eastAsia="zh-CN"/>
        </w:rPr>
        <w:t>Proposal 2: (CATT)</w:t>
      </w:r>
    </w:p>
    <w:p w14:paraId="4D4533C9">
      <w:pPr>
        <w:pStyle w:val="150"/>
        <w:numPr>
          <w:ilvl w:val="2"/>
          <w:numId w:val="4"/>
        </w:numPr>
        <w:overflowPunct/>
        <w:autoSpaceDE/>
        <w:autoSpaceDN/>
        <w:adjustRightInd/>
        <w:spacing w:after="120"/>
        <w:ind w:left="1860" w:firstLineChars="0"/>
        <w:textAlignment w:val="auto"/>
        <w:rPr>
          <w:bCs/>
          <w:color w:val="0570C0"/>
          <w:lang w:val="en-US" w:eastAsia="zh-CN"/>
        </w:rPr>
      </w:pPr>
      <w:r>
        <w:rPr>
          <w:rFonts w:hint="eastAsia"/>
          <w:bCs/>
          <w:color w:val="0570C0"/>
          <w:lang w:val="en-US" w:eastAsia="zh-CN"/>
        </w:rPr>
        <w:t>RAN4 need to discuss whether to add new test configuration to include more UE types defined in R19 ATG core part</w:t>
      </w:r>
    </w:p>
    <w:p w14:paraId="051C8E52">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4D952B78">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Check whether Proposal 1 can be agreed.</w:t>
      </w:r>
    </w:p>
    <w:p w14:paraId="668BDF33">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Further discuss Proposal 2.</w:t>
      </w:r>
    </w:p>
    <w:p w14:paraId="0407C7C8">
      <w:pPr>
        <w:rPr>
          <w:rFonts w:hint="default"/>
          <w:b w:val="0"/>
          <w:bCs/>
          <w:color w:val="000000" w:themeColor="text1"/>
          <w:u w:val="none"/>
          <w:lang w:val="en-US" w:eastAsia="zh-CN"/>
          <w14:textFill>
            <w14:solidFill>
              <w14:schemeClr w14:val="tx1"/>
            </w14:solidFill>
          </w14:textFill>
        </w:rPr>
      </w:pPr>
      <w:r>
        <w:rPr>
          <w:rFonts w:hint="eastAsia"/>
          <w:b w:val="0"/>
          <w:bCs/>
          <w:color w:val="000000" w:themeColor="text1"/>
          <w:u w:val="none"/>
          <w:lang w:val="en-US" w:eastAsia="zh-CN"/>
          <w14:textFill>
            <w14:solidFill>
              <w14:schemeClr w14:val="tx1"/>
            </w14:solidFill>
          </w14:textFill>
        </w:rPr>
        <w:t>CATT： No need to add more configuration about UE types. But for test setups, need check regarding UE types.</w:t>
      </w:r>
    </w:p>
    <w:p w14:paraId="022C1077">
      <w:pPr>
        <w:rPr>
          <w:rFonts w:hint="eastAsia"/>
          <w:b w:val="0"/>
          <w:bCs/>
          <w:color w:val="000000" w:themeColor="text1"/>
          <w:u w:val="none"/>
          <w:lang w:val="en-US" w:eastAsia="zh-CN"/>
          <w14:textFill>
            <w14:solidFill>
              <w14:schemeClr w14:val="tx1"/>
            </w14:solidFill>
          </w14:textFill>
        </w:rPr>
      </w:pPr>
      <w:r>
        <w:rPr>
          <w:rFonts w:hint="eastAsia"/>
          <w:b w:val="0"/>
          <w:bCs/>
          <w:color w:val="000000" w:themeColor="text1"/>
          <w:u w:val="none"/>
          <w:lang w:val="en-US" w:eastAsia="zh-CN"/>
          <w14:textFill>
            <w14:solidFill>
              <w14:schemeClr w14:val="tx1"/>
            </w14:solidFill>
          </w14:textFill>
        </w:rPr>
        <w:t>ZTE: What type of test setups CATT mentioned? Antenna</w:t>
      </w:r>
    </w:p>
    <w:p w14:paraId="29160DF6">
      <w:pPr>
        <w:rPr>
          <w:rFonts w:hint="eastAsia"/>
          <w:b w:val="0"/>
          <w:bCs/>
          <w:color w:val="000000" w:themeColor="text1"/>
          <w:u w:val="none"/>
          <w:lang w:val="en-US" w:eastAsia="zh-CN"/>
          <w14:textFill>
            <w14:solidFill>
              <w14:schemeClr w14:val="tx1"/>
            </w14:solidFill>
          </w14:textFill>
        </w:rPr>
      </w:pPr>
      <w:r>
        <w:rPr>
          <w:rFonts w:hint="eastAsia"/>
          <w:b w:val="0"/>
          <w:bCs/>
          <w:color w:val="000000" w:themeColor="text1"/>
          <w:u w:val="none"/>
          <w:lang w:val="en-US" w:eastAsia="zh-CN"/>
          <w14:textFill>
            <w14:solidFill>
              <w14:schemeClr w14:val="tx1"/>
            </w14:solidFill>
          </w14:textFill>
        </w:rPr>
        <w:t>CATT: Handover, etc have antenna assumption. We need more time to check the new test cases.</w:t>
      </w:r>
    </w:p>
    <w:p w14:paraId="358F897B">
      <w:pPr>
        <w:rPr>
          <w:rFonts w:hint="eastAsia"/>
          <w:b w:val="0"/>
          <w:bCs/>
          <w:color w:val="000000" w:themeColor="text1"/>
          <w:u w:val="none"/>
          <w:lang w:val="en-US" w:eastAsia="zh-CN"/>
          <w14:textFill>
            <w14:solidFill>
              <w14:schemeClr w14:val="tx1"/>
            </w14:solidFill>
          </w14:textFill>
        </w:rPr>
      </w:pPr>
      <w:r>
        <w:rPr>
          <w:rFonts w:hint="eastAsia"/>
          <w:b w:val="0"/>
          <w:bCs/>
          <w:color w:val="000000" w:themeColor="text1"/>
          <w:u w:val="none"/>
          <w:lang w:val="en-US" w:eastAsia="zh-CN"/>
          <w14:textFill>
            <w14:solidFill>
              <w14:schemeClr w14:val="tx1"/>
            </w14:solidFill>
          </w14:textFill>
        </w:rPr>
        <w:t>Ericsson: Keep the antenna configuration part open.</w:t>
      </w:r>
    </w:p>
    <w:p w14:paraId="4C1149C3">
      <w:pPr>
        <w:rPr>
          <w:rFonts w:hint="eastAsia"/>
          <w:b w:val="0"/>
          <w:bCs/>
          <w:color w:val="000000" w:themeColor="text1"/>
          <w:highlight w:val="green"/>
          <w:u w:val="none"/>
          <w:lang w:val="en-US" w:eastAsia="zh-CN"/>
          <w14:textFill>
            <w14:solidFill>
              <w14:schemeClr w14:val="tx1"/>
            </w14:solidFill>
          </w14:textFill>
        </w:rPr>
      </w:pPr>
      <w:r>
        <w:rPr>
          <w:rFonts w:hint="eastAsia"/>
          <w:b w:val="0"/>
          <w:bCs/>
          <w:color w:val="000000" w:themeColor="text1"/>
          <w:highlight w:val="green"/>
          <w:u w:val="none"/>
          <w:lang w:val="en-US" w:eastAsia="zh-CN"/>
          <w14:textFill>
            <w14:solidFill>
              <w14:schemeClr w14:val="tx1"/>
            </w14:solidFill>
          </w14:textFill>
        </w:rPr>
        <w:t>Agreement: </w:t>
      </w:r>
    </w:p>
    <w:p w14:paraId="75867220">
      <w:pPr>
        <w:pStyle w:val="150"/>
        <w:numPr>
          <w:ilvl w:val="0"/>
          <w:numId w:val="4"/>
        </w:numPr>
        <w:overflowPunct/>
        <w:autoSpaceDE/>
        <w:autoSpaceDN/>
        <w:adjustRightInd/>
        <w:spacing w:after="120"/>
        <w:ind w:left="1020" w:leftChars="0" w:firstLineChars="0"/>
        <w:textAlignment w:val="auto"/>
        <w:rPr>
          <w:bCs/>
          <w:color w:val="0570C0"/>
          <w:lang w:val="en-US" w:eastAsia="zh-CN"/>
        </w:rPr>
      </w:pPr>
      <w:r>
        <w:rPr>
          <w:rFonts w:hint="eastAsia"/>
          <w:bCs/>
          <w:color w:val="0570C0"/>
          <w:lang w:val="en-US" w:eastAsia="zh-CN"/>
        </w:rPr>
        <w:t>Following three test configurations are supported for both PCell and SCell:</w:t>
      </w:r>
    </w:p>
    <w:p w14:paraId="622B924E">
      <w:pPr>
        <w:pStyle w:val="150"/>
        <w:numPr>
          <w:ilvl w:val="1"/>
          <w:numId w:val="4"/>
        </w:numPr>
        <w:overflowPunct/>
        <w:autoSpaceDE/>
        <w:autoSpaceDN/>
        <w:adjustRightInd/>
        <w:spacing w:after="120"/>
        <w:ind w:left="1440" w:leftChars="0" w:firstLineChars="0"/>
        <w:textAlignment w:val="auto"/>
        <w:rPr>
          <w:bCs/>
          <w:color w:val="0570C0"/>
          <w:lang w:val="en-US" w:eastAsia="zh-CN"/>
        </w:rPr>
      </w:pPr>
      <w:r>
        <w:rPr>
          <w:rFonts w:hint="eastAsia"/>
          <w:bCs/>
          <w:color w:val="0570C0"/>
          <w:lang w:val="en-US" w:eastAsia="zh-CN"/>
        </w:rPr>
        <w:t>Configuration 1:15kHz SSB SCS, 10MHz bandwidth, FDD duplex mode</w:t>
      </w:r>
    </w:p>
    <w:p w14:paraId="5CC88D09">
      <w:pPr>
        <w:pStyle w:val="150"/>
        <w:numPr>
          <w:ilvl w:val="1"/>
          <w:numId w:val="4"/>
        </w:numPr>
        <w:overflowPunct/>
        <w:autoSpaceDE/>
        <w:autoSpaceDN/>
        <w:adjustRightInd/>
        <w:spacing w:after="120"/>
        <w:ind w:left="1440" w:leftChars="0" w:firstLineChars="0"/>
        <w:textAlignment w:val="auto"/>
        <w:rPr>
          <w:bCs/>
          <w:color w:val="0570C0"/>
          <w:lang w:val="en-US" w:eastAsia="zh-CN"/>
        </w:rPr>
      </w:pPr>
      <w:r>
        <w:rPr>
          <w:rFonts w:hint="eastAsia"/>
          <w:bCs/>
          <w:color w:val="0570C0"/>
          <w:lang w:val="en-US" w:eastAsia="zh-CN"/>
        </w:rPr>
        <w:t>Configuration 2: 30kHz SSB SCS, 40MHz bandwidth, TDD duplex mode</w:t>
      </w:r>
    </w:p>
    <w:p w14:paraId="13F9C9FF">
      <w:pPr>
        <w:pStyle w:val="150"/>
        <w:numPr>
          <w:ilvl w:val="1"/>
          <w:numId w:val="4"/>
        </w:numPr>
        <w:overflowPunct/>
        <w:autoSpaceDE/>
        <w:autoSpaceDN/>
        <w:adjustRightInd/>
        <w:spacing w:after="120"/>
        <w:ind w:left="1440" w:leftChars="0" w:firstLineChars="0"/>
        <w:textAlignment w:val="auto"/>
        <w:rPr>
          <w:bCs/>
          <w:color w:val="0570C0"/>
          <w:lang w:val="en-US" w:eastAsia="zh-CN"/>
        </w:rPr>
      </w:pPr>
      <w:r>
        <w:rPr>
          <w:rFonts w:hint="eastAsia"/>
          <w:bCs/>
          <w:color w:val="0570C0"/>
          <w:lang w:val="en-US" w:eastAsia="zh-CN"/>
        </w:rPr>
        <w:t>Configuration 3: 15kHz SSB SCS, 10MHz bandwidth, TDD duplex mode</w:t>
      </w:r>
    </w:p>
    <w:p w14:paraId="3B2BA9FC">
      <w:pPr>
        <w:pStyle w:val="150"/>
        <w:numPr>
          <w:ilvl w:val="2"/>
          <w:numId w:val="4"/>
        </w:numPr>
        <w:overflowPunct/>
        <w:autoSpaceDE/>
        <w:autoSpaceDN/>
        <w:adjustRightInd/>
        <w:spacing w:after="120"/>
        <w:ind w:left="1860" w:leftChars="0" w:firstLineChars="0"/>
        <w:textAlignment w:val="auto"/>
        <w:rPr>
          <w:bCs/>
          <w:color w:val="0570C0"/>
          <w:lang w:val="en-US" w:eastAsia="zh-CN"/>
        </w:rPr>
      </w:pPr>
      <w:r>
        <w:rPr>
          <w:rFonts w:hint="eastAsia"/>
          <w:bCs/>
          <w:color w:val="0570C0"/>
          <w:lang w:val="en-US" w:eastAsia="zh-CN"/>
        </w:rPr>
        <w:t>If legacy TN test cases don</w:t>
      </w:r>
      <w:r>
        <w:rPr>
          <w:bCs/>
          <w:color w:val="0570C0"/>
          <w:lang w:val="en-US" w:eastAsia="zh-CN"/>
        </w:rPr>
        <w:t>’</w:t>
      </w:r>
      <w:r>
        <w:rPr>
          <w:rFonts w:hint="eastAsia"/>
          <w:bCs/>
          <w:color w:val="0570C0"/>
          <w:lang w:val="en-US" w:eastAsia="zh-CN"/>
        </w:rPr>
        <w:t>t have this test configuration, then no need to introduce it into the corresponding ATG test cases.</w:t>
      </w:r>
    </w:p>
    <w:p w14:paraId="78757BE2">
      <w:pPr>
        <w:rPr>
          <w:rFonts w:hint="default"/>
          <w:b w:val="0"/>
          <w:bCs/>
          <w:color w:val="000000" w:themeColor="text1"/>
          <w:u w:val="none"/>
          <w:lang w:val="en-US" w:eastAsia="zh-CN"/>
          <w14:textFill>
            <w14:solidFill>
              <w14:schemeClr w14:val="tx1"/>
            </w14:solidFill>
          </w14:textFill>
        </w:rPr>
      </w:pPr>
    </w:p>
    <w:p w14:paraId="39F4D3B1">
      <w:pPr>
        <w:rPr>
          <w:rFonts w:hint="default"/>
          <w:b w:val="0"/>
          <w:bCs/>
          <w:color w:val="000000" w:themeColor="text1"/>
          <w:u w:val="none"/>
          <w:lang w:val="en-US" w:eastAsia="zh-CN"/>
          <w14:textFill>
            <w14:solidFill>
              <w14:schemeClr w14:val="tx1"/>
            </w14:solidFill>
          </w14:textFill>
        </w:rPr>
      </w:pPr>
    </w:p>
    <w:p w14:paraId="6FC8D10B">
      <w:pPr>
        <w:rPr>
          <w:b/>
          <w:color w:val="0070C0"/>
          <w:u w:val="single"/>
          <w:lang w:val="en-US" w:eastAsia="zh-CN"/>
        </w:rPr>
      </w:pPr>
      <w:r>
        <w:rPr>
          <w:rFonts w:hint="eastAsia"/>
          <w:b/>
          <w:color w:val="0070C0"/>
          <w:u w:val="single"/>
          <w:lang w:val="en-US" w:eastAsia="zh-CN"/>
        </w:rPr>
        <w:t>Issue 2-2-2: Test applicability rule</w:t>
      </w:r>
    </w:p>
    <w:p w14:paraId="3C2B02FE">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0FE0C117">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w:t>
      </w:r>
      <w:r>
        <w:rPr>
          <w:rFonts w:eastAsia="宋体"/>
          <w:color w:val="0070C0"/>
          <w:szCs w:val="24"/>
          <w:lang w:val="en-US" w:eastAsia="zh-CN"/>
        </w:rPr>
        <w:t>1</w:t>
      </w:r>
      <w:r>
        <w:rPr>
          <w:rFonts w:hint="eastAsia" w:eastAsia="宋体"/>
          <w:color w:val="0070C0"/>
          <w:szCs w:val="24"/>
          <w:lang w:val="en-US" w:eastAsia="zh-CN"/>
        </w:rPr>
        <w:t>: (CMCC, Ericsson)</w:t>
      </w:r>
    </w:p>
    <w:p w14:paraId="54F317EF">
      <w:pPr>
        <w:pStyle w:val="150"/>
        <w:numPr>
          <w:ilvl w:val="2"/>
          <w:numId w:val="4"/>
        </w:numPr>
        <w:overflowPunct/>
        <w:autoSpaceDE/>
        <w:autoSpaceDN/>
        <w:adjustRightInd/>
        <w:spacing w:after="120"/>
        <w:ind w:left="1860" w:firstLineChars="0"/>
        <w:textAlignment w:val="auto"/>
        <w:rPr>
          <w:rFonts w:eastAsia="宋体"/>
          <w:bCs/>
          <w:color w:val="0570C0"/>
          <w:lang w:val="en-US" w:eastAsia="zh-CN"/>
        </w:rPr>
      </w:pPr>
      <w:r>
        <w:rPr>
          <w:rFonts w:hint="eastAsia" w:eastAsia="宋体"/>
          <w:bCs/>
          <w:color w:val="0570C0"/>
          <w:lang w:val="en-US" w:eastAsia="zh-CN"/>
        </w:rPr>
        <w:t>UE is only required to be tested in one of the supported test configurations</w:t>
      </w:r>
    </w:p>
    <w:p w14:paraId="4A1B4CA7">
      <w:pPr>
        <w:pStyle w:val="150"/>
        <w:numPr>
          <w:ilvl w:val="2"/>
          <w:numId w:val="4"/>
        </w:numPr>
        <w:overflowPunct/>
        <w:autoSpaceDE/>
        <w:autoSpaceDN/>
        <w:adjustRightInd/>
        <w:spacing w:after="120"/>
        <w:ind w:left="1860" w:firstLineChars="0"/>
        <w:textAlignment w:val="auto"/>
        <w:rPr>
          <w:rFonts w:eastAsia="宋体"/>
          <w:bCs/>
          <w:color w:val="0570C0"/>
          <w:lang w:val="en-US" w:eastAsia="zh-CN"/>
        </w:rPr>
      </w:pPr>
      <w:r>
        <w:rPr>
          <w:rFonts w:hint="eastAsia" w:eastAsia="宋体"/>
          <w:bCs/>
          <w:color w:val="0570C0"/>
          <w:lang w:val="en-US" w:eastAsia="zh-CN"/>
        </w:rPr>
        <w:t xml:space="preserve">UE is only required to be tested in one with smallest aggregated channel bandwidth from supported band combinations which is composed of CCs </w:t>
      </w:r>
      <w:r>
        <w:rPr>
          <w:rFonts w:ascii="Arial" w:hAnsi="Arial" w:eastAsia="宋体" w:cs="Arial"/>
          <w:bCs/>
          <w:color w:val="0570C0"/>
          <w:lang w:val="en-US" w:eastAsia="zh-CN"/>
        </w:rPr>
        <w:t>≥</w:t>
      </w:r>
      <w:r>
        <w:rPr>
          <w:rFonts w:hint="eastAsia" w:eastAsia="宋体"/>
          <w:bCs/>
          <w:color w:val="0570C0"/>
          <w:lang w:val="en-US" w:eastAsia="zh-CN"/>
        </w:rPr>
        <w:t xml:space="preserve"> the bandwidth (BW</w:t>
      </w:r>
      <w:r>
        <w:rPr>
          <w:rFonts w:hint="eastAsia" w:eastAsia="宋体"/>
          <w:bCs/>
          <w:color w:val="0570C0"/>
          <w:vertAlign w:val="subscript"/>
          <w:lang w:val="en-US" w:eastAsia="zh-CN"/>
        </w:rPr>
        <w:t>channel</w:t>
      </w:r>
      <w:r>
        <w:rPr>
          <w:rFonts w:hint="eastAsia" w:eastAsia="宋体"/>
          <w:bCs/>
          <w:color w:val="0570C0"/>
          <w:lang w:val="en-US" w:eastAsia="zh-CN"/>
        </w:rPr>
        <w:t>) defined in each test configuration</w:t>
      </w:r>
    </w:p>
    <w:p w14:paraId="0C8E09FE">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646E6417">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Check whether Proposal 1 can be agreed.</w:t>
      </w:r>
    </w:p>
    <w:p w14:paraId="5B8A1CD1">
      <w:pPr>
        <w:rPr>
          <w:rFonts w:hint="default"/>
          <w:b w:val="0"/>
          <w:bCs/>
          <w:color w:val="000000" w:themeColor="text1"/>
          <w:u w:val="none"/>
          <w:lang w:val="en-US" w:eastAsia="zh-CN"/>
          <w14:textFill>
            <w14:solidFill>
              <w14:schemeClr w14:val="tx1"/>
            </w14:solidFill>
          </w14:textFill>
        </w:rPr>
      </w:pPr>
      <w:r>
        <w:rPr>
          <w:rFonts w:hint="eastAsia"/>
          <w:b w:val="0"/>
          <w:bCs/>
          <w:color w:val="000000" w:themeColor="text1"/>
          <w:u w:val="none"/>
          <w:lang w:val="en-US" w:eastAsia="zh-CN"/>
          <w14:textFill>
            <w14:solidFill>
              <w14:schemeClr w14:val="tx1"/>
            </w14:solidFill>
          </w14:textFill>
        </w:rPr>
        <w:t>HW, ZTE: further discuss</w:t>
      </w:r>
    </w:p>
    <w:p w14:paraId="56C4D54C">
      <w:pPr>
        <w:rPr>
          <w:b/>
          <w:color w:val="0070C0"/>
          <w:u w:val="single"/>
          <w:lang w:val="en-US" w:eastAsia="zh-CN"/>
        </w:rPr>
      </w:pPr>
    </w:p>
    <w:p w14:paraId="0CF08C77">
      <w:pPr>
        <w:rPr>
          <w:b/>
          <w:color w:val="0070C0"/>
          <w:u w:val="single"/>
          <w:lang w:val="en-US" w:eastAsia="zh-CN"/>
        </w:rPr>
      </w:pPr>
      <w:r>
        <w:rPr>
          <w:rFonts w:hint="eastAsia"/>
          <w:b/>
          <w:color w:val="0070C0"/>
          <w:u w:val="single"/>
          <w:lang w:val="en-US" w:eastAsia="zh-CN"/>
        </w:rPr>
        <w:t>Issue 2-2-3: Test setups</w:t>
      </w:r>
    </w:p>
    <w:p w14:paraId="3E3E4690">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1FF80A13">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w:t>
      </w:r>
      <w:r>
        <w:rPr>
          <w:rFonts w:eastAsia="宋体"/>
          <w:color w:val="0070C0"/>
          <w:szCs w:val="24"/>
          <w:lang w:val="en-US" w:eastAsia="zh-CN"/>
        </w:rPr>
        <w:t>1</w:t>
      </w:r>
      <w:r>
        <w:rPr>
          <w:rFonts w:hint="eastAsia" w:eastAsia="宋体"/>
          <w:color w:val="0070C0"/>
          <w:szCs w:val="24"/>
          <w:lang w:val="en-US" w:eastAsia="zh-CN"/>
        </w:rPr>
        <w:t>: (CMCC, CATT, ZTE)</w:t>
      </w:r>
    </w:p>
    <w:p w14:paraId="66CA86E2">
      <w:pPr>
        <w:pStyle w:val="150"/>
        <w:numPr>
          <w:ilvl w:val="2"/>
          <w:numId w:val="4"/>
        </w:numPr>
        <w:overflowPunct/>
        <w:autoSpaceDE/>
        <w:autoSpaceDN/>
        <w:adjustRightInd/>
        <w:spacing w:after="120"/>
        <w:ind w:left="1860" w:firstLineChars="0"/>
        <w:textAlignment w:val="auto"/>
        <w:rPr>
          <w:rFonts w:eastAsia="宋体"/>
          <w:bCs/>
          <w:color w:val="0570C0"/>
          <w:lang w:val="en-US" w:eastAsia="zh-CN"/>
        </w:rPr>
      </w:pPr>
      <w:r>
        <w:rPr>
          <w:rFonts w:hint="eastAsia" w:eastAsia="宋体"/>
          <w:bCs/>
          <w:color w:val="0570C0"/>
          <w:lang w:val="en-US" w:eastAsia="zh-CN"/>
        </w:rPr>
        <w:t>Following test setups agreed in R18 can be reused:</w:t>
      </w:r>
    </w:p>
    <w:p w14:paraId="4522C9ED">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TDD pattern: The legacy TDD pattern are used</w:t>
      </w:r>
    </w:p>
    <w:p w14:paraId="579CBF12">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Channel model: AWGN with residual doppler channel model</w:t>
      </w:r>
    </w:p>
    <w:p w14:paraId="25C8256D">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2: (CMCC, ZTE)</w:t>
      </w:r>
    </w:p>
    <w:p w14:paraId="2EF9FFF2">
      <w:pPr>
        <w:pStyle w:val="150"/>
        <w:numPr>
          <w:ilvl w:val="2"/>
          <w:numId w:val="4"/>
        </w:numPr>
        <w:overflowPunct/>
        <w:autoSpaceDE/>
        <w:autoSpaceDN/>
        <w:adjustRightInd/>
        <w:spacing w:after="120"/>
        <w:ind w:left="1860" w:firstLineChars="0"/>
        <w:textAlignment w:val="auto"/>
        <w:rPr>
          <w:rFonts w:eastAsia="宋体"/>
          <w:bCs/>
          <w:color w:val="0570C0"/>
          <w:lang w:val="en-US" w:eastAsia="zh-CN"/>
        </w:rPr>
      </w:pPr>
      <w:r>
        <w:rPr>
          <w:rFonts w:hint="eastAsia" w:eastAsia="宋体"/>
          <w:bCs/>
          <w:color w:val="0570C0"/>
          <w:lang w:val="en-US" w:eastAsia="zh-CN"/>
        </w:rPr>
        <w:t>Following test setups agreed in R18 can be reused:</w:t>
      </w:r>
    </w:p>
    <w:p w14:paraId="01EAAEDD">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Number of neighbour cells: one neighbour cell in the test if needed</w:t>
      </w:r>
    </w:p>
    <w:p w14:paraId="3F767DA7">
      <w:pPr>
        <w:pStyle w:val="150"/>
        <w:numPr>
          <w:ilvl w:val="1"/>
          <w:numId w:val="4"/>
        </w:numPr>
        <w:overflowPunct/>
        <w:autoSpaceDE/>
        <w:autoSpaceDN/>
        <w:adjustRightInd/>
        <w:spacing w:after="120"/>
        <w:ind w:left="1440" w:firstLineChars="0"/>
        <w:textAlignment w:val="auto"/>
        <w:rPr>
          <w:rFonts w:eastAsia="宋体"/>
          <w:bCs/>
          <w:color w:val="0570C0"/>
          <w:lang w:val="en-US" w:eastAsia="zh-CN"/>
        </w:rPr>
      </w:pPr>
      <w:r>
        <w:rPr>
          <w:rFonts w:hint="eastAsia" w:eastAsia="宋体"/>
          <w:bCs/>
          <w:color w:val="0570C0"/>
          <w:lang w:val="en-US" w:eastAsia="zh-CN"/>
        </w:rPr>
        <w:t xml:space="preserve">Proposal 3: </w:t>
      </w:r>
      <w:r>
        <w:rPr>
          <w:rFonts w:hint="eastAsia" w:eastAsia="宋体"/>
          <w:color w:val="0070C0"/>
          <w:szCs w:val="24"/>
          <w:lang w:val="en-US" w:eastAsia="zh-CN"/>
        </w:rPr>
        <w:t>(CMCC, CATT)</w:t>
      </w:r>
    </w:p>
    <w:p w14:paraId="67777C68">
      <w:pPr>
        <w:pStyle w:val="150"/>
        <w:numPr>
          <w:ilvl w:val="2"/>
          <w:numId w:val="4"/>
        </w:numPr>
        <w:overflowPunct/>
        <w:autoSpaceDE/>
        <w:autoSpaceDN/>
        <w:adjustRightInd/>
        <w:spacing w:after="120"/>
        <w:ind w:left="1860" w:firstLineChars="0"/>
        <w:textAlignment w:val="auto"/>
        <w:rPr>
          <w:rFonts w:eastAsia="宋体"/>
          <w:bCs/>
          <w:color w:val="0570C0"/>
          <w:lang w:val="en-US" w:eastAsia="zh-CN"/>
        </w:rPr>
      </w:pPr>
      <w:r>
        <w:rPr>
          <w:rFonts w:hint="eastAsia" w:eastAsia="宋体"/>
          <w:bCs/>
          <w:color w:val="0570C0"/>
          <w:lang w:val="en-US" w:eastAsia="zh-CN"/>
        </w:rPr>
        <w:t>Following test setups agreed in R18 can be reused:</w:t>
      </w:r>
    </w:p>
    <w:p w14:paraId="07D7157B">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 xml:space="preserve">GNSS and UE mobility setup: </w:t>
      </w:r>
      <w:r>
        <w:rPr>
          <w:rFonts w:eastAsia="宋体"/>
          <w:bCs/>
          <w:color w:val="0570C0"/>
          <w:lang w:val="en-US" w:eastAsia="zh-CN"/>
        </w:rPr>
        <w:t>UE positioning and UE speed are set by AT command. UE speed is 0km/h, UE specific positioning is emulated by test system.</w:t>
      </w:r>
    </w:p>
    <w:p w14:paraId="6220C370">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 xml:space="preserve">BS location: </w:t>
      </w:r>
      <w:r>
        <w:rPr>
          <w:rFonts w:eastAsia="宋体"/>
          <w:bCs/>
          <w:color w:val="0570C0"/>
          <w:lang w:val="en-US" w:eastAsia="zh-CN"/>
        </w:rPr>
        <w:t>The specific gNB reference location is emulated by test system</w:t>
      </w:r>
    </w:p>
    <w:p w14:paraId="2265493B">
      <w:pPr>
        <w:pStyle w:val="150"/>
        <w:numPr>
          <w:ilvl w:val="1"/>
          <w:numId w:val="4"/>
        </w:numPr>
        <w:overflowPunct/>
        <w:autoSpaceDE/>
        <w:autoSpaceDN/>
        <w:adjustRightInd/>
        <w:spacing w:after="120"/>
        <w:ind w:left="1440" w:firstLineChars="0"/>
        <w:textAlignment w:val="auto"/>
        <w:rPr>
          <w:rFonts w:eastAsia="宋体"/>
          <w:bCs/>
          <w:color w:val="0570C0"/>
          <w:lang w:val="en-US" w:eastAsia="zh-CN"/>
        </w:rPr>
      </w:pPr>
      <w:r>
        <w:rPr>
          <w:rFonts w:hint="eastAsia" w:eastAsia="宋体"/>
          <w:bCs/>
          <w:color w:val="0570C0"/>
          <w:lang w:val="en-US" w:eastAsia="zh-CN"/>
        </w:rPr>
        <w:t xml:space="preserve">Proposal 4: </w:t>
      </w:r>
      <w:r>
        <w:rPr>
          <w:rFonts w:hint="eastAsia" w:eastAsia="宋体"/>
          <w:color w:val="0070C0"/>
          <w:szCs w:val="24"/>
          <w:lang w:val="en-US" w:eastAsia="zh-CN"/>
        </w:rPr>
        <w:t>(CMCC, Ericsson, CATT)</w:t>
      </w:r>
    </w:p>
    <w:p w14:paraId="152E1D5B">
      <w:pPr>
        <w:pStyle w:val="150"/>
        <w:numPr>
          <w:ilvl w:val="2"/>
          <w:numId w:val="4"/>
        </w:numPr>
        <w:overflowPunct/>
        <w:autoSpaceDE/>
        <w:autoSpaceDN/>
        <w:adjustRightInd/>
        <w:spacing w:after="120"/>
        <w:ind w:left="1860" w:firstLineChars="0"/>
        <w:textAlignment w:val="auto"/>
        <w:rPr>
          <w:rFonts w:eastAsia="宋体"/>
          <w:bCs/>
          <w:color w:val="0570C0"/>
          <w:lang w:val="en-US" w:eastAsia="zh-CN"/>
        </w:rPr>
      </w:pPr>
      <w:r>
        <w:rPr>
          <w:rFonts w:hint="eastAsia" w:eastAsia="宋体"/>
          <w:bCs/>
          <w:color w:val="0570C0"/>
          <w:lang w:val="en-US" w:eastAsia="zh-CN"/>
        </w:rPr>
        <w:t>Following test setups agreed in R18 can be reused:</w:t>
      </w:r>
    </w:p>
    <w:p w14:paraId="7001A9D5">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ko-KR"/>
        </w:rPr>
        <w:t>RMC</w:t>
      </w:r>
      <w:r>
        <w:rPr>
          <w:rFonts w:hint="eastAsia" w:eastAsia="宋体"/>
          <w:bCs/>
          <w:color w:val="0570C0"/>
          <w:lang w:val="en-US" w:eastAsia="zh-CN"/>
        </w:rPr>
        <w:t xml:space="preserve">: </w:t>
      </w:r>
      <w:r>
        <w:rPr>
          <w:rFonts w:eastAsia="宋体"/>
          <w:bCs/>
          <w:color w:val="0570C0"/>
          <w:lang w:val="en-US" w:eastAsia="zh-CN"/>
        </w:rPr>
        <w:t>the legacy NR RMCs defined in section A.3.1 of TS 38.133 are reused for ATG test cases.</w:t>
      </w:r>
    </w:p>
    <w:p w14:paraId="3F18130F">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ko-KR"/>
        </w:rPr>
        <w:t>OCNG</w:t>
      </w:r>
      <w:r>
        <w:rPr>
          <w:rFonts w:hint="eastAsia" w:eastAsia="宋体"/>
          <w:bCs/>
          <w:color w:val="0570C0"/>
          <w:lang w:val="en-US" w:eastAsia="zh-CN"/>
        </w:rPr>
        <w:t xml:space="preserve">: </w:t>
      </w:r>
    </w:p>
    <w:p w14:paraId="7BEC974B">
      <w:pPr>
        <w:pStyle w:val="150"/>
        <w:numPr>
          <w:ilvl w:val="4"/>
          <w:numId w:val="4"/>
        </w:numPr>
        <w:overflowPunct/>
        <w:autoSpaceDE/>
        <w:autoSpaceDN/>
        <w:adjustRightInd/>
        <w:spacing w:after="120"/>
        <w:ind w:left="2700" w:firstLineChars="0"/>
        <w:textAlignment w:val="auto"/>
        <w:rPr>
          <w:rFonts w:eastAsia="宋体"/>
          <w:bCs/>
          <w:color w:val="0570C0"/>
          <w:lang w:val="en-US" w:eastAsia="zh-CN"/>
        </w:rPr>
      </w:pPr>
      <w:r>
        <w:rPr>
          <w:rFonts w:eastAsia="宋体"/>
          <w:bCs/>
          <w:color w:val="0570C0"/>
          <w:lang w:val="en-US" w:eastAsia="zh-CN"/>
        </w:rPr>
        <w:t>Generic OCNG pattern for all unused REs defined in A.3.2.1.1 in TS 38.133.</w:t>
      </w:r>
    </w:p>
    <w:p w14:paraId="756318CF">
      <w:pPr>
        <w:pStyle w:val="150"/>
        <w:numPr>
          <w:ilvl w:val="4"/>
          <w:numId w:val="4"/>
        </w:numPr>
        <w:overflowPunct/>
        <w:autoSpaceDE/>
        <w:autoSpaceDN/>
        <w:adjustRightInd/>
        <w:spacing w:after="120"/>
        <w:ind w:left="2700" w:firstLineChars="0"/>
        <w:textAlignment w:val="auto"/>
        <w:rPr>
          <w:rFonts w:eastAsia="宋体"/>
          <w:bCs/>
          <w:color w:val="0570C0"/>
          <w:lang w:val="en-US" w:eastAsia="zh-CN"/>
        </w:rPr>
      </w:pPr>
      <w:r>
        <w:rPr>
          <w:rFonts w:eastAsia="宋体"/>
          <w:bCs/>
          <w:color w:val="0570C0"/>
          <w:lang w:val="en-US" w:eastAsia="zh-CN"/>
        </w:rPr>
        <w:t>Generic OCNG pattern for unused REs in the same bandwidth as CORESET defined in A.3.2.1.3 of TS 38.133.</w:t>
      </w:r>
    </w:p>
    <w:p w14:paraId="27E5ACD1">
      <w:pPr>
        <w:pStyle w:val="150"/>
        <w:numPr>
          <w:ilvl w:val="4"/>
          <w:numId w:val="4"/>
        </w:numPr>
        <w:overflowPunct/>
        <w:autoSpaceDE/>
        <w:autoSpaceDN/>
        <w:adjustRightInd/>
        <w:spacing w:after="120"/>
        <w:ind w:left="2700" w:firstLineChars="0"/>
        <w:textAlignment w:val="auto"/>
        <w:rPr>
          <w:rFonts w:eastAsia="宋体"/>
          <w:bCs/>
          <w:color w:val="0570C0"/>
          <w:lang w:val="en-US" w:eastAsia="zh-CN"/>
        </w:rPr>
      </w:pPr>
      <w:r>
        <w:rPr>
          <w:rFonts w:eastAsia="宋体"/>
          <w:bCs/>
          <w:color w:val="0570C0"/>
          <w:lang w:val="en-US" w:eastAsia="zh-CN"/>
        </w:rPr>
        <w:t>Generic OCNG pattern for all unused REs outside SSB slot(s) defined in A.3.2.1.4 in TS 38.133</w:t>
      </w:r>
    </w:p>
    <w:p w14:paraId="10F0DE71">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5CE78231">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Check whether Proposal 1, 2, 3 and 4 can be agreed.</w:t>
      </w:r>
    </w:p>
    <w:p w14:paraId="45FF61BE">
      <w:pPr>
        <w:pStyle w:val="150"/>
        <w:numPr>
          <w:ilvl w:val="0"/>
          <w:numId w:val="0"/>
        </w:numPr>
        <w:overflowPunct/>
        <w:autoSpaceDE/>
        <w:autoSpaceDN/>
        <w:adjustRightInd/>
        <w:spacing w:after="120"/>
        <w:textAlignment w:val="auto"/>
        <w:rPr>
          <w:rFonts w:hint="eastAsia" w:eastAsia="宋体"/>
          <w:color w:val="0070C0"/>
          <w:szCs w:val="24"/>
          <w:lang w:val="en-US" w:eastAsia="zh-CN"/>
        </w:rPr>
      </w:pPr>
    </w:p>
    <w:p w14:paraId="4A5600FC">
      <w:pPr>
        <w:pStyle w:val="150"/>
        <w:numPr>
          <w:ilvl w:val="0"/>
          <w:numId w:val="0"/>
        </w:numPr>
        <w:overflowPunct/>
        <w:autoSpaceDE/>
        <w:autoSpaceDN/>
        <w:adjustRightInd/>
        <w:spacing w:after="120"/>
        <w:textAlignment w:val="auto"/>
        <w:rPr>
          <w:rFonts w:eastAsia="宋体"/>
          <w:bCs/>
          <w:color w:val="000000" w:themeColor="text1"/>
          <w:lang w:val="en-US" w:eastAsia="zh-CN"/>
          <w14:textFill>
            <w14:solidFill>
              <w14:schemeClr w14:val="tx1"/>
            </w14:solidFill>
          </w14:textFill>
        </w:rPr>
      </w:pPr>
      <w:r>
        <w:rPr>
          <w:rFonts w:hint="eastAsia" w:eastAsia="宋体"/>
          <w:bCs/>
          <w:color w:val="000000" w:themeColor="text1"/>
          <w:lang w:val="en-US" w:eastAsia="zh-CN"/>
          <w14:textFill>
            <w14:solidFill>
              <w14:schemeClr w14:val="tx1"/>
            </w14:solidFill>
          </w14:textFill>
        </w:rPr>
        <w:t>LGE: what about UL of SCell</w:t>
      </w:r>
    </w:p>
    <w:p w14:paraId="0F724B35">
      <w:pPr>
        <w:pStyle w:val="150"/>
        <w:numPr>
          <w:ilvl w:val="0"/>
          <w:numId w:val="0"/>
        </w:numPr>
        <w:overflowPunct/>
        <w:autoSpaceDE/>
        <w:autoSpaceDN/>
        <w:adjustRightInd/>
        <w:spacing w:after="120"/>
        <w:textAlignment w:val="auto"/>
        <w:rPr>
          <w:rFonts w:eastAsia="宋体"/>
          <w:bCs/>
          <w:color w:val="000000" w:themeColor="text1"/>
          <w:lang w:val="en-US" w:eastAsia="zh-CN"/>
          <w14:textFill>
            <w14:solidFill>
              <w14:schemeClr w14:val="tx1"/>
            </w14:solidFill>
          </w14:textFill>
        </w:rPr>
      </w:pPr>
      <w:r>
        <w:rPr>
          <w:rFonts w:hint="eastAsia" w:eastAsia="宋体"/>
          <w:bCs/>
          <w:color w:val="000000" w:themeColor="text1"/>
          <w:lang w:val="en-US" w:eastAsia="zh-CN"/>
          <w14:textFill>
            <w14:solidFill>
              <w14:schemeClr w14:val="tx1"/>
            </w14:solidFill>
          </w14:textFill>
        </w:rPr>
        <w:t>ZTE: all symbol/slots is DL</w:t>
      </w:r>
    </w:p>
    <w:p w14:paraId="7BFCD80C">
      <w:pPr>
        <w:pStyle w:val="150"/>
        <w:numPr>
          <w:ilvl w:val="0"/>
          <w:numId w:val="0"/>
        </w:numPr>
        <w:overflowPunct/>
        <w:autoSpaceDE/>
        <w:autoSpaceDN/>
        <w:adjustRightInd/>
        <w:spacing w:after="120"/>
        <w:textAlignment w:val="auto"/>
        <w:rPr>
          <w:rFonts w:hint="eastAsia" w:eastAsia="宋体"/>
          <w:color w:val="000000" w:themeColor="text1"/>
          <w:szCs w:val="24"/>
          <w:lang w:val="en-US"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Intel: why we need BS location?</w:t>
      </w:r>
    </w:p>
    <w:p w14:paraId="5ECBA667">
      <w:pPr>
        <w:pStyle w:val="150"/>
        <w:numPr>
          <w:ilvl w:val="0"/>
          <w:numId w:val="0"/>
        </w:numPr>
        <w:overflowPunct/>
        <w:autoSpaceDE/>
        <w:autoSpaceDN/>
        <w:adjustRightInd/>
        <w:spacing w:after="120"/>
        <w:textAlignment w:val="auto"/>
        <w:rPr>
          <w:rFonts w:hint="eastAsia" w:eastAsia="宋体"/>
          <w:color w:val="000000" w:themeColor="text1"/>
          <w:szCs w:val="24"/>
          <w:lang w:val="en-US"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ZTE: From SIB22</w:t>
      </w:r>
    </w:p>
    <w:p w14:paraId="7F143BB9">
      <w:pPr>
        <w:pStyle w:val="150"/>
        <w:numPr>
          <w:ilvl w:val="0"/>
          <w:numId w:val="0"/>
        </w:numPr>
        <w:overflowPunct/>
        <w:autoSpaceDE/>
        <w:autoSpaceDN/>
        <w:adjustRightInd/>
        <w:spacing w:after="120"/>
        <w:textAlignment w:val="auto"/>
        <w:rPr>
          <w:rFonts w:hint="default" w:eastAsia="宋体"/>
          <w:color w:val="000000" w:themeColor="text1"/>
          <w:szCs w:val="24"/>
          <w:lang w:val="en-US" w:eastAsia="zh-CN"/>
          <w14:textFill>
            <w14:solidFill>
              <w14:schemeClr w14:val="tx1"/>
            </w14:solidFill>
          </w14:textFill>
        </w:rPr>
      </w:pPr>
    </w:p>
    <w:p w14:paraId="2F2818E0">
      <w:pPr>
        <w:pStyle w:val="150"/>
        <w:numPr>
          <w:ilvl w:val="0"/>
          <w:numId w:val="0"/>
        </w:numPr>
        <w:overflowPunct/>
        <w:autoSpaceDE/>
        <w:autoSpaceDN/>
        <w:adjustRightInd/>
        <w:spacing w:after="120"/>
        <w:textAlignment w:val="auto"/>
        <w:rPr>
          <w:rFonts w:hint="default" w:eastAsia="宋体"/>
          <w:color w:val="0070C0"/>
          <w:szCs w:val="24"/>
          <w:highlight w:val="green"/>
          <w:lang w:val="en-US" w:eastAsia="zh-CN"/>
        </w:rPr>
      </w:pPr>
      <w:r>
        <w:rPr>
          <w:rFonts w:hint="eastAsia" w:eastAsia="宋体"/>
          <w:color w:val="0070C0"/>
          <w:szCs w:val="24"/>
          <w:highlight w:val="green"/>
          <w:lang w:val="en-US" w:eastAsia="zh-CN"/>
        </w:rPr>
        <w:t>Agreement:</w:t>
      </w:r>
    </w:p>
    <w:p w14:paraId="5FD8D7F3">
      <w:pPr>
        <w:pStyle w:val="150"/>
        <w:numPr>
          <w:ilvl w:val="0"/>
          <w:numId w:val="4"/>
        </w:numPr>
        <w:overflowPunct/>
        <w:autoSpaceDE/>
        <w:autoSpaceDN/>
        <w:adjustRightInd/>
        <w:spacing w:after="120"/>
        <w:ind w:left="1020" w:leftChars="0" w:firstLineChars="0"/>
        <w:textAlignment w:val="auto"/>
        <w:rPr>
          <w:rFonts w:eastAsia="宋体"/>
          <w:bCs/>
          <w:color w:val="0570C0"/>
          <w:lang w:val="en-US" w:eastAsia="zh-CN"/>
        </w:rPr>
      </w:pPr>
      <w:r>
        <w:rPr>
          <w:rFonts w:hint="eastAsia" w:eastAsia="宋体"/>
          <w:bCs/>
          <w:color w:val="0570C0"/>
          <w:lang w:val="en-US" w:eastAsia="zh-CN"/>
        </w:rPr>
        <w:t>Following test setups agreed in R18 can be reused:</w:t>
      </w:r>
    </w:p>
    <w:p w14:paraId="061CAC02">
      <w:pPr>
        <w:pStyle w:val="150"/>
        <w:numPr>
          <w:ilvl w:val="0"/>
          <w:numId w:val="4"/>
        </w:numPr>
        <w:overflowPunct/>
        <w:autoSpaceDE/>
        <w:autoSpaceDN/>
        <w:adjustRightInd/>
        <w:spacing w:after="120"/>
        <w:ind w:left="1020" w:leftChars="0" w:firstLineChars="0"/>
        <w:textAlignment w:val="auto"/>
        <w:rPr>
          <w:rFonts w:eastAsia="宋体"/>
          <w:bCs/>
          <w:color w:val="0570C0"/>
          <w:lang w:val="en-US" w:eastAsia="zh-CN"/>
        </w:rPr>
      </w:pPr>
      <w:r>
        <w:rPr>
          <w:rFonts w:hint="eastAsia" w:eastAsia="宋体"/>
          <w:bCs/>
          <w:color w:val="0570C0"/>
          <w:lang w:val="en-US" w:eastAsia="zh-CN"/>
        </w:rPr>
        <w:t xml:space="preserve">TDD pattern: The legacy TDD pattern are used for PCell, </w:t>
      </w:r>
      <w:r>
        <w:rPr>
          <w:rFonts w:hint="eastAsia" w:eastAsia="宋体"/>
          <w:bCs/>
          <w:color w:val="0570C0"/>
          <w:highlight w:val="yellow"/>
          <w:lang w:val="en-US" w:eastAsia="zh-CN"/>
        </w:rPr>
        <w:t>FFS for SCell</w:t>
      </w:r>
    </w:p>
    <w:p w14:paraId="05AC92EA">
      <w:pPr>
        <w:pStyle w:val="150"/>
        <w:numPr>
          <w:ilvl w:val="0"/>
          <w:numId w:val="4"/>
        </w:numPr>
        <w:overflowPunct/>
        <w:autoSpaceDE/>
        <w:autoSpaceDN/>
        <w:adjustRightInd/>
        <w:spacing w:after="120"/>
        <w:ind w:left="1020" w:leftChars="0" w:firstLineChars="0"/>
        <w:textAlignment w:val="auto"/>
        <w:rPr>
          <w:rFonts w:eastAsia="宋体"/>
          <w:bCs/>
          <w:color w:val="0570C0"/>
          <w:lang w:val="en-US" w:eastAsia="zh-CN"/>
        </w:rPr>
      </w:pPr>
      <w:r>
        <w:rPr>
          <w:rFonts w:hint="eastAsia" w:eastAsia="宋体"/>
          <w:bCs/>
          <w:color w:val="0570C0"/>
          <w:lang w:val="en-US" w:eastAsia="zh-CN"/>
        </w:rPr>
        <w:t>Channel model: AWGN with residual doppler channel model</w:t>
      </w:r>
    </w:p>
    <w:p w14:paraId="2184DD9C">
      <w:pPr>
        <w:pStyle w:val="150"/>
        <w:numPr>
          <w:ilvl w:val="0"/>
          <w:numId w:val="4"/>
        </w:numPr>
        <w:overflowPunct/>
        <w:autoSpaceDE/>
        <w:autoSpaceDN/>
        <w:adjustRightInd/>
        <w:spacing w:after="120"/>
        <w:ind w:left="1020" w:leftChars="0" w:firstLineChars="0"/>
        <w:textAlignment w:val="auto"/>
        <w:rPr>
          <w:rFonts w:eastAsia="宋体"/>
          <w:bCs/>
          <w:color w:val="0570C0"/>
          <w:lang w:val="en-US" w:eastAsia="zh-CN"/>
        </w:rPr>
      </w:pPr>
      <w:r>
        <w:rPr>
          <w:rFonts w:hint="eastAsia" w:eastAsia="宋体"/>
          <w:bCs/>
          <w:color w:val="0570C0"/>
          <w:lang w:val="en-US" w:eastAsia="zh-CN"/>
        </w:rPr>
        <w:t>Number of neighbour cells: one neighbour cell in the test if needed</w:t>
      </w:r>
    </w:p>
    <w:p w14:paraId="29349C8E">
      <w:pPr>
        <w:pStyle w:val="150"/>
        <w:numPr>
          <w:ilvl w:val="0"/>
          <w:numId w:val="4"/>
        </w:numPr>
        <w:overflowPunct/>
        <w:autoSpaceDE/>
        <w:autoSpaceDN/>
        <w:adjustRightInd/>
        <w:spacing w:after="120"/>
        <w:ind w:left="1020" w:leftChars="0" w:firstLineChars="0"/>
        <w:textAlignment w:val="auto"/>
        <w:rPr>
          <w:rFonts w:eastAsia="宋体"/>
          <w:bCs/>
          <w:color w:val="0570C0"/>
          <w:lang w:val="en-US" w:eastAsia="zh-CN"/>
        </w:rPr>
      </w:pPr>
      <w:r>
        <w:rPr>
          <w:rFonts w:hint="eastAsia" w:eastAsia="宋体"/>
          <w:bCs/>
          <w:color w:val="0570C0"/>
          <w:lang w:val="en-US" w:eastAsia="zh-CN"/>
        </w:rPr>
        <w:t xml:space="preserve">GNSS and UE mobility setup: </w:t>
      </w:r>
      <w:r>
        <w:rPr>
          <w:rFonts w:eastAsia="宋体"/>
          <w:bCs/>
          <w:color w:val="0570C0"/>
          <w:lang w:val="en-US" w:eastAsia="zh-CN"/>
        </w:rPr>
        <w:t>UE positioning and UE speed are set by AT command. UE speed is 0km/h, UE specific positioning is emulated by test system.</w:t>
      </w:r>
    </w:p>
    <w:p w14:paraId="21320C9A">
      <w:pPr>
        <w:pStyle w:val="150"/>
        <w:numPr>
          <w:ilvl w:val="0"/>
          <w:numId w:val="4"/>
        </w:numPr>
        <w:overflowPunct/>
        <w:autoSpaceDE/>
        <w:autoSpaceDN/>
        <w:adjustRightInd/>
        <w:spacing w:after="120"/>
        <w:ind w:left="1020" w:leftChars="0" w:firstLineChars="0"/>
        <w:textAlignment w:val="auto"/>
        <w:rPr>
          <w:rFonts w:eastAsia="宋体"/>
          <w:bCs/>
          <w:color w:val="0570C0"/>
          <w:lang w:val="en-US" w:eastAsia="zh-CN"/>
        </w:rPr>
      </w:pPr>
      <w:r>
        <w:rPr>
          <w:rFonts w:hint="eastAsia" w:eastAsia="宋体"/>
          <w:bCs/>
          <w:color w:val="0570C0"/>
          <w:lang w:val="en-US" w:eastAsia="zh-CN"/>
        </w:rPr>
        <w:t xml:space="preserve">BS location: </w:t>
      </w:r>
      <w:r>
        <w:rPr>
          <w:rFonts w:eastAsia="宋体"/>
          <w:bCs/>
          <w:color w:val="0570C0"/>
          <w:lang w:val="en-US" w:eastAsia="zh-CN"/>
        </w:rPr>
        <w:t>The specific gNB reference location is emulated by test system</w:t>
      </w:r>
    </w:p>
    <w:p w14:paraId="4DDA2AF2">
      <w:pPr>
        <w:pStyle w:val="150"/>
        <w:numPr>
          <w:ilvl w:val="0"/>
          <w:numId w:val="4"/>
        </w:numPr>
        <w:overflowPunct/>
        <w:autoSpaceDE/>
        <w:autoSpaceDN/>
        <w:adjustRightInd/>
        <w:spacing w:after="120"/>
        <w:ind w:left="1020" w:leftChars="0" w:firstLineChars="0"/>
        <w:textAlignment w:val="auto"/>
        <w:rPr>
          <w:rFonts w:eastAsia="宋体"/>
          <w:bCs/>
          <w:color w:val="0570C0"/>
          <w:lang w:val="en-US" w:eastAsia="zh-CN"/>
        </w:rPr>
      </w:pPr>
      <w:r>
        <w:rPr>
          <w:rFonts w:hint="eastAsia" w:eastAsia="宋体"/>
          <w:bCs/>
          <w:color w:val="0570C0"/>
          <w:lang w:val="en-US" w:eastAsia="ko-KR"/>
        </w:rPr>
        <w:t>RMC</w:t>
      </w:r>
      <w:r>
        <w:rPr>
          <w:rFonts w:hint="eastAsia" w:eastAsia="宋体"/>
          <w:bCs/>
          <w:color w:val="0570C0"/>
          <w:lang w:val="en-US" w:eastAsia="zh-CN"/>
        </w:rPr>
        <w:t xml:space="preserve">: </w:t>
      </w:r>
      <w:r>
        <w:rPr>
          <w:rFonts w:eastAsia="宋体"/>
          <w:bCs/>
          <w:color w:val="0570C0"/>
          <w:lang w:val="en-US" w:eastAsia="zh-CN"/>
        </w:rPr>
        <w:t>the legacy NR RMCs defined in section A.3.1 of TS 38.133 are reused for ATG test cases.</w:t>
      </w:r>
    </w:p>
    <w:p w14:paraId="65F96D67">
      <w:pPr>
        <w:pStyle w:val="150"/>
        <w:numPr>
          <w:ilvl w:val="0"/>
          <w:numId w:val="4"/>
        </w:numPr>
        <w:overflowPunct/>
        <w:autoSpaceDE/>
        <w:autoSpaceDN/>
        <w:adjustRightInd/>
        <w:spacing w:after="120"/>
        <w:ind w:left="1020" w:leftChars="0" w:firstLineChars="0"/>
        <w:textAlignment w:val="auto"/>
        <w:rPr>
          <w:rFonts w:eastAsia="宋体"/>
          <w:bCs/>
          <w:color w:val="0570C0"/>
          <w:lang w:val="en-US" w:eastAsia="zh-CN"/>
        </w:rPr>
      </w:pPr>
      <w:r>
        <w:rPr>
          <w:rFonts w:hint="eastAsia" w:eastAsia="宋体"/>
          <w:bCs/>
          <w:color w:val="0570C0"/>
          <w:lang w:val="en-US" w:eastAsia="ko-KR"/>
        </w:rPr>
        <w:t>OCNG</w:t>
      </w:r>
      <w:r>
        <w:rPr>
          <w:rFonts w:hint="eastAsia" w:eastAsia="宋体"/>
          <w:bCs/>
          <w:color w:val="0570C0"/>
          <w:lang w:val="en-US" w:eastAsia="zh-CN"/>
        </w:rPr>
        <w:t xml:space="preserve">: </w:t>
      </w:r>
    </w:p>
    <w:p w14:paraId="4269DE20">
      <w:pPr>
        <w:pStyle w:val="150"/>
        <w:numPr>
          <w:ilvl w:val="1"/>
          <w:numId w:val="4"/>
        </w:numPr>
        <w:overflowPunct/>
        <w:autoSpaceDE/>
        <w:autoSpaceDN/>
        <w:adjustRightInd/>
        <w:spacing w:after="120"/>
        <w:ind w:left="1440" w:leftChars="0" w:firstLineChars="0"/>
        <w:textAlignment w:val="auto"/>
        <w:rPr>
          <w:rFonts w:eastAsia="宋体"/>
          <w:bCs/>
          <w:color w:val="0570C0"/>
          <w:lang w:val="en-US" w:eastAsia="zh-CN"/>
        </w:rPr>
      </w:pPr>
      <w:r>
        <w:rPr>
          <w:rFonts w:eastAsia="宋体"/>
          <w:bCs/>
          <w:color w:val="0570C0"/>
          <w:lang w:val="en-US" w:eastAsia="zh-CN"/>
        </w:rPr>
        <w:t>Generic OCNG pattern for all unused REs defined in A.3.2.1.1 in TS 38.133.</w:t>
      </w:r>
    </w:p>
    <w:p w14:paraId="39A9D64E">
      <w:pPr>
        <w:pStyle w:val="150"/>
        <w:numPr>
          <w:ilvl w:val="1"/>
          <w:numId w:val="4"/>
        </w:numPr>
        <w:overflowPunct/>
        <w:autoSpaceDE/>
        <w:autoSpaceDN/>
        <w:adjustRightInd/>
        <w:spacing w:after="120"/>
        <w:ind w:left="1440" w:leftChars="0" w:firstLineChars="0"/>
        <w:textAlignment w:val="auto"/>
        <w:rPr>
          <w:rFonts w:eastAsia="宋体"/>
          <w:bCs/>
          <w:color w:val="0570C0"/>
          <w:lang w:val="en-US" w:eastAsia="zh-CN"/>
        </w:rPr>
      </w:pPr>
      <w:r>
        <w:rPr>
          <w:rFonts w:eastAsia="宋体"/>
          <w:bCs/>
          <w:color w:val="0570C0"/>
          <w:lang w:val="en-US" w:eastAsia="zh-CN"/>
        </w:rPr>
        <w:t>Generic OCNG pattern for unused REs in the same bandwidth as CORESET defined in A.3.2.1.3 of TS 38.133.</w:t>
      </w:r>
    </w:p>
    <w:p w14:paraId="775B4610">
      <w:pPr>
        <w:pStyle w:val="150"/>
        <w:numPr>
          <w:ilvl w:val="1"/>
          <w:numId w:val="4"/>
        </w:numPr>
        <w:overflowPunct/>
        <w:autoSpaceDE/>
        <w:autoSpaceDN/>
        <w:adjustRightInd/>
        <w:spacing w:after="120"/>
        <w:ind w:left="1440" w:leftChars="0" w:firstLineChars="0"/>
        <w:textAlignment w:val="auto"/>
        <w:rPr>
          <w:rFonts w:eastAsia="宋体"/>
          <w:bCs/>
          <w:color w:val="0570C0"/>
          <w:lang w:val="en-US" w:eastAsia="zh-CN"/>
        </w:rPr>
      </w:pPr>
      <w:r>
        <w:rPr>
          <w:rFonts w:eastAsia="宋体"/>
          <w:bCs/>
          <w:color w:val="0570C0"/>
          <w:lang w:val="en-US" w:eastAsia="zh-CN"/>
        </w:rPr>
        <w:t>Generic OCNG pattern for all unused REs outside SSB slot(s) defined in A.3.2.1.4 in TS 38.133</w:t>
      </w:r>
    </w:p>
    <w:p w14:paraId="145A1FF9">
      <w:pPr>
        <w:rPr>
          <w:b/>
          <w:color w:val="0070C0"/>
          <w:u w:val="single"/>
          <w:lang w:val="en-US" w:eastAsia="zh-CN"/>
        </w:rPr>
      </w:pPr>
    </w:p>
    <w:p w14:paraId="0318888A">
      <w:pPr>
        <w:rPr>
          <w:b/>
          <w:color w:val="0070C0"/>
          <w:u w:val="single"/>
          <w:lang w:val="en-US" w:eastAsia="zh-CN"/>
        </w:rPr>
      </w:pPr>
    </w:p>
    <w:p w14:paraId="6A85D898">
      <w:pPr>
        <w:rPr>
          <w:b/>
          <w:color w:val="0070C0"/>
          <w:u w:val="single"/>
          <w:lang w:val="en-US" w:eastAsia="zh-CN"/>
        </w:rPr>
      </w:pPr>
      <w:r>
        <w:rPr>
          <w:rFonts w:hint="eastAsia"/>
          <w:b/>
          <w:color w:val="0070C0"/>
          <w:u w:val="single"/>
          <w:lang w:val="en-US" w:eastAsia="zh-CN"/>
        </w:rPr>
        <w:t>Issue 2-2-4: Test method and scaling factor for UE with antenna array</w:t>
      </w:r>
    </w:p>
    <w:p w14:paraId="670F3271">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4E0FBC02">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w:t>
      </w:r>
      <w:r>
        <w:rPr>
          <w:rFonts w:eastAsia="宋体"/>
          <w:color w:val="0070C0"/>
          <w:szCs w:val="24"/>
          <w:lang w:val="en-US" w:eastAsia="zh-CN"/>
        </w:rPr>
        <w:t>1</w:t>
      </w:r>
      <w:r>
        <w:rPr>
          <w:rFonts w:hint="eastAsia" w:eastAsia="宋体"/>
          <w:color w:val="0070C0"/>
          <w:szCs w:val="24"/>
          <w:lang w:val="en-US" w:eastAsia="zh-CN"/>
        </w:rPr>
        <w:t>: (CATT)</w:t>
      </w:r>
    </w:p>
    <w:p w14:paraId="05B58135">
      <w:pPr>
        <w:pStyle w:val="150"/>
        <w:numPr>
          <w:ilvl w:val="2"/>
          <w:numId w:val="4"/>
        </w:numPr>
        <w:overflowPunct/>
        <w:autoSpaceDE/>
        <w:autoSpaceDN/>
        <w:adjustRightInd/>
        <w:spacing w:after="120"/>
        <w:ind w:left="1860" w:firstLineChars="0"/>
        <w:textAlignment w:val="auto"/>
        <w:rPr>
          <w:rFonts w:eastAsia="宋体"/>
          <w:bCs/>
          <w:color w:val="0570C0"/>
          <w:lang w:val="en-US" w:eastAsia="zh-CN"/>
        </w:rPr>
      </w:pPr>
      <w:r>
        <w:rPr>
          <w:rFonts w:hint="eastAsia" w:eastAsia="宋体"/>
          <w:bCs/>
          <w:color w:val="0570C0"/>
          <w:lang w:val="en-US" w:eastAsia="zh-CN"/>
        </w:rPr>
        <w:t>RAN4 need to discuss whether to reuse the legacy test method and scaling factor for all types of UE.</w:t>
      </w:r>
    </w:p>
    <w:p w14:paraId="76B277DC">
      <w:pPr>
        <w:pStyle w:val="150"/>
        <w:numPr>
          <w:ilvl w:val="1"/>
          <w:numId w:val="4"/>
        </w:numPr>
        <w:overflowPunct/>
        <w:autoSpaceDE/>
        <w:autoSpaceDN/>
        <w:adjustRightInd/>
        <w:spacing w:after="120"/>
        <w:ind w:left="1440" w:firstLineChars="0"/>
        <w:textAlignment w:val="auto"/>
        <w:rPr>
          <w:rFonts w:eastAsia="宋体"/>
          <w:bCs/>
          <w:color w:val="0570C0"/>
          <w:lang w:val="en-US" w:eastAsia="zh-CN"/>
        </w:rPr>
      </w:pPr>
      <w:r>
        <w:rPr>
          <w:rFonts w:hint="eastAsia" w:eastAsia="宋体"/>
          <w:bCs/>
          <w:color w:val="0570C0"/>
          <w:lang w:val="en-US" w:eastAsia="zh-CN"/>
        </w:rPr>
        <w:t>Proposal 2: (ZTE)</w:t>
      </w:r>
    </w:p>
    <w:p w14:paraId="00D0B35B">
      <w:pPr>
        <w:pStyle w:val="150"/>
        <w:numPr>
          <w:ilvl w:val="2"/>
          <w:numId w:val="4"/>
        </w:numPr>
        <w:overflowPunct/>
        <w:autoSpaceDE/>
        <w:autoSpaceDN/>
        <w:adjustRightInd/>
        <w:spacing w:after="120"/>
        <w:ind w:left="1860" w:firstLineChars="0"/>
        <w:textAlignment w:val="auto"/>
        <w:rPr>
          <w:rFonts w:eastAsia="宋体"/>
          <w:bCs/>
          <w:color w:val="0570C0"/>
          <w:lang w:val="en-US" w:eastAsia="zh-CN"/>
        </w:rPr>
      </w:pPr>
      <w:r>
        <w:rPr>
          <w:rFonts w:hint="eastAsia" w:eastAsia="宋体"/>
          <w:bCs/>
          <w:color w:val="0570C0"/>
          <w:lang w:val="en-US" w:eastAsia="zh-CN"/>
        </w:rPr>
        <w:t>Reuse the test method defined in R18 ATG for all antenna array cases including intra-band CA and inter-band CA.</w:t>
      </w:r>
    </w:p>
    <w:p w14:paraId="3A24B711">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2F96E261">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To be discussed.</w:t>
      </w:r>
    </w:p>
    <w:p w14:paraId="53794470">
      <w:pPr>
        <w:pStyle w:val="150"/>
        <w:overflowPunct/>
        <w:autoSpaceDE/>
        <w:autoSpaceDN/>
        <w:adjustRightInd/>
        <w:spacing w:after="120"/>
        <w:ind w:firstLine="0" w:firstLineChars="0"/>
        <w:textAlignment w:val="auto"/>
        <w:rPr>
          <w:rFonts w:hint="eastAsia" w:eastAsia="宋体"/>
          <w:color w:val="000000" w:themeColor="text1"/>
          <w:szCs w:val="24"/>
          <w:lang w:val="en-US"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ZTE: R18 have already ignore the scaling factor due to no OTA test will be applied in RRM test. The methodology of test method can be used.</w:t>
      </w:r>
    </w:p>
    <w:p w14:paraId="7CC909C2">
      <w:pPr>
        <w:pStyle w:val="150"/>
        <w:overflowPunct/>
        <w:autoSpaceDE/>
        <w:autoSpaceDN/>
        <w:adjustRightInd/>
        <w:spacing w:after="120"/>
        <w:ind w:firstLine="0" w:firstLineChars="0"/>
        <w:textAlignment w:val="auto"/>
        <w:rPr>
          <w:rFonts w:hint="default" w:eastAsia="宋体"/>
          <w:color w:val="000000" w:themeColor="text1"/>
          <w:szCs w:val="24"/>
          <w:lang w:val="en-US"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Ericsson: No agreement here.</w:t>
      </w:r>
    </w:p>
    <w:p w14:paraId="53EBC090">
      <w:pPr>
        <w:pStyle w:val="150"/>
        <w:overflowPunct/>
        <w:autoSpaceDE/>
        <w:autoSpaceDN/>
        <w:adjustRightInd/>
        <w:spacing w:after="120"/>
        <w:ind w:firstLine="0" w:firstLineChars="0"/>
        <w:textAlignment w:val="auto"/>
        <w:rPr>
          <w:rFonts w:hint="default" w:eastAsia="宋体"/>
          <w:color w:val="000000" w:themeColor="text1"/>
          <w:szCs w:val="24"/>
          <w:highlight w:val="yellow"/>
          <w:lang w:val="en-US" w:eastAsia="zh-CN"/>
          <w14:textFill>
            <w14:solidFill>
              <w14:schemeClr w14:val="tx1"/>
            </w14:solidFill>
          </w14:textFill>
        </w:rPr>
      </w:pPr>
      <w:r>
        <w:rPr>
          <w:rFonts w:hint="eastAsia" w:eastAsia="宋体"/>
          <w:color w:val="000000" w:themeColor="text1"/>
          <w:szCs w:val="24"/>
          <w:highlight w:val="yellow"/>
          <w:lang w:val="en-US" w:eastAsia="zh-CN"/>
          <w14:textFill>
            <w14:solidFill>
              <w14:schemeClr w14:val="tx1"/>
            </w14:solidFill>
          </w14:textFill>
        </w:rPr>
        <w:t>Tentative agreement:</w:t>
      </w:r>
    </w:p>
    <w:p w14:paraId="6A308BF4">
      <w:pPr>
        <w:pStyle w:val="150"/>
        <w:overflowPunct/>
        <w:autoSpaceDE/>
        <w:autoSpaceDN/>
        <w:adjustRightInd/>
        <w:spacing w:after="120"/>
        <w:ind w:firstLine="0" w:firstLineChars="0"/>
        <w:textAlignment w:val="auto"/>
        <w:rPr>
          <w:rFonts w:hint="default" w:eastAsia="宋体"/>
          <w:color w:val="000000" w:themeColor="text1"/>
          <w:szCs w:val="24"/>
          <w:highlight w:val="yellow"/>
          <w:lang w:val="en-US" w:eastAsia="zh-CN"/>
          <w14:textFill>
            <w14:solidFill>
              <w14:schemeClr w14:val="tx1"/>
            </w14:solidFill>
          </w14:textFill>
        </w:rPr>
      </w:pPr>
      <w:r>
        <w:rPr>
          <w:rFonts w:hint="eastAsia" w:eastAsia="宋体"/>
          <w:color w:val="000000" w:themeColor="text1"/>
          <w:szCs w:val="24"/>
          <w:highlight w:val="yellow"/>
          <w:lang w:val="en-US" w:eastAsia="zh-CN"/>
          <w14:textFill>
            <w14:solidFill>
              <w14:schemeClr w14:val="tx1"/>
            </w14:solidFill>
          </w14:textFill>
        </w:rPr>
        <w:t xml:space="preserve">The scaling factor related with antenna array will not be applied in test requirements </w:t>
      </w:r>
    </w:p>
    <w:p w14:paraId="675864D6">
      <w:pPr>
        <w:pStyle w:val="150"/>
        <w:overflowPunct/>
        <w:autoSpaceDE/>
        <w:autoSpaceDN/>
        <w:adjustRightInd/>
        <w:spacing w:after="120"/>
        <w:ind w:firstLine="0" w:firstLineChars="0"/>
        <w:textAlignment w:val="auto"/>
        <w:rPr>
          <w:rFonts w:hint="default" w:eastAsia="宋体"/>
          <w:color w:val="000000" w:themeColor="text1"/>
          <w:szCs w:val="24"/>
          <w:highlight w:val="yellow"/>
          <w:lang w:val="en-US" w:eastAsia="zh-CN"/>
          <w14:textFill>
            <w14:solidFill>
              <w14:schemeClr w14:val="tx1"/>
            </w14:solidFill>
          </w14:textFill>
        </w:rPr>
      </w:pPr>
      <w:r>
        <w:rPr>
          <w:rFonts w:hint="eastAsia" w:eastAsia="宋体"/>
          <w:color w:val="000000" w:themeColor="text1"/>
          <w:szCs w:val="24"/>
          <w:highlight w:val="yellow"/>
          <w:lang w:val="en-US" w:eastAsia="zh-CN"/>
          <w14:textFill>
            <w14:solidFill>
              <w14:schemeClr w14:val="tx1"/>
            </w14:solidFill>
          </w14:textFill>
        </w:rPr>
        <w:t>FFS of the test parameters, test requirements for UE with antenna array on both PCC and SCC</w:t>
      </w:r>
    </w:p>
    <w:p w14:paraId="4EAA648C">
      <w:pPr>
        <w:pStyle w:val="150"/>
        <w:overflowPunct/>
        <w:autoSpaceDE/>
        <w:autoSpaceDN/>
        <w:adjustRightInd/>
        <w:spacing w:after="120"/>
        <w:ind w:firstLine="0" w:firstLineChars="0"/>
        <w:textAlignment w:val="auto"/>
        <w:rPr>
          <w:rFonts w:eastAsia="宋体"/>
          <w:color w:val="0070C0"/>
          <w:szCs w:val="24"/>
          <w:lang w:val="en-US" w:eastAsia="zh-CN"/>
        </w:rPr>
      </w:pPr>
    </w:p>
    <w:p w14:paraId="008876BA">
      <w:pPr>
        <w:rPr>
          <w:b/>
          <w:color w:val="0070C0"/>
          <w:u w:val="single"/>
          <w:lang w:val="en-US" w:eastAsia="zh-CN"/>
        </w:rPr>
      </w:pPr>
      <w:r>
        <w:rPr>
          <w:rFonts w:hint="eastAsia"/>
          <w:b/>
          <w:color w:val="0070C0"/>
          <w:u w:val="single"/>
          <w:lang w:val="en-US" w:eastAsia="zh-CN"/>
        </w:rPr>
        <w:t>Issue 2-2-5: Test scope</w:t>
      </w:r>
    </w:p>
    <w:p w14:paraId="7992970D">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1F41A4B5">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w:t>
      </w:r>
      <w:r>
        <w:rPr>
          <w:rFonts w:eastAsia="宋体"/>
          <w:color w:val="0070C0"/>
          <w:szCs w:val="24"/>
          <w:lang w:val="en-US" w:eastAsia="zh-CN"/>
        </w:rPr>
        <w:t>1</w:t>
      </w:r>
      <w:r>
        <w:rPr>
          <w:rFonts w:hint="eastAsia" w:eastAsia="宋体"/>
          <w:color w:val="0070C0"/>
          <w:szCs w:val="24"/>
          <w:lang w:val="en-US" w:eastAsia="zh-CN"/>
        </w:rPr>
        <w:t>: (CMCC)</w:t>
      </w:r>
    </w:p>
    <w:p w14:paraId="3D3C8F99">
      <w:pPr>
        <w:pStyle w:val="150"/>
        <w:numPr>
          <w:ilvl w:val="2"/>
          <w:numId w:val="4"/>
        </w:numPr>
        <w:overflowPunct/>
        <w:autoSpaceDE/>
        <w:autoSpaceDN/>
        <w:adjustRightInd/>
        <w:spacing w:after="120"/>
        <w:ind w:left="1860" w:firstLineChars="0"/>
        <w:textAlignment w:val="auto"/>
        <w:rPr>
          <w:rFonts w:eastAsia="宋体"/>
          <w:bCs/>
          <w:color w:val="0570C0"/>
          <w:lang w:val="en-US" w:eastAsia="zh-CN"/>
        </w:rPr>
      </w:pPr>
      <w:r>
        <w:rPr>
          <w:rFonts w:hint="eastAsia" w:eastAsia="宋体"/>
          <w:bCs/>
          <w:color w:val="0570C0"/>
          <w:lang w:val="en-US" w:eastAsia="zh-CN"/>
        </w:rPr>
        <w:t>Define following test cases for ATG, related legacy TCs can be referred:</w:t>
      </w:r>
    </w:p>
    <w:p w14:paraId="664EE8B2">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Interruptions during measurements on deactivated NR SCC in FR1</w:t>
      </w:r>
    </w:p>
    <w:p w14:paraId="507ADB94">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Interruption requirement at SRS antenna port switching with 1 SRS symbol in a slot</w:t>
      </w:r>
    </w:p>
    <w:p w14:paraId="4A42E39B">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Interruption requirement at SRS antenna port switching with more than 1 SRS symbol in a slot</w:t>
      </w:r>
    </w:p>
    <w:p w14:paraId="56262A51">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SCell Activation and deactivation of known SCell in FR1 in non-DRX for 160 ms SCell measurement cycle</w:t>
      </w:r>
    </w:p>
    <w:p w14:paraId="4D81AB77">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SCell Activation and deactivation of known SCell in FR1 in non-DRX for 640 ms SCell measurement cycle</w:t>
      </w:r>
    </w:p>
    <w:p w14:paraId="736B9A1E">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SCell Activation and deactivation of unknown SCell in FR1 in non-DRX</w:t>
      </w:r>
    </w:p>
    <w:p w14:paraId="5E34EEDB">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Direct SCell activation at SCell addition of known SCell in FR1</w:t>
      </w:r>
    </w:p>
    <w:p w14:paraId="3B772E33">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Direct SCell activation at handover with known SCell in FR1</w:t>
      </w:r>
    </w:p>
    <w:p w14:paraId="4644B155">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Fast SCell Activation of known SCell in FR1 in non-DRX for 160 ms SCell measurement cycle</w:t>
      </w:r>
    </w:p>
    <w:p w14:paraId="734C3C3B">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Fast SCell Activation of known SCell in FR1 in non-DRX for 640 ms SCell measurement cycle</w:t>
      </w:r>
    </w:p>
    <w:p w14:paraId="74449BAE">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SCell Activation of unknown SCell with valid L3 measurement results in FR1 in non-DRX for 160 ms SCell measurement cycle</w:t>
      </w:r>
    </w:p>
    <w:p w14:paraId="3EBEFBDB">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TRS based SCell Activation of SSB-less SCell in FR1 inter-band CA in non-DRX</w:t>
      </w:r>
    </w:p>
    <w:p w14:paraId="6EAA13E6">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Inter-band SSB-less SCell Activation based on A-TRS</w:t>
      </w:r>
    </w:p>
    <w:p w14:paraId="2D4CD1AE">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Beam Failure Detection and Link Recovery Test for FR1 SCell configured with CSI-RS-based BFD and SSB-based LR in non-DRX mode</w:t>
      </w:r>
    </w:p>
    <w:p w14:paraId="1406D8E8">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Simultaneous DCI-based and Timer-based Active BWP Switch on multiple CCs</w:t>
      </w:r>
    </w:p>
    <w:p w14:paraId="4F7D820B">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Simultaneous RRC-based Active BWP Switch on multiple CCs</w:t>
      </w:r>
    </w:p>
    <w:p w14:paraId="2B01AC14">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SCell dormancy switch</w:t>
      </w:r>
    </w:p>
    <w:p w14:paraId="3E906E48">
      <w:pPr>
        <w:pStyle w:val="150"/>
        <w:numPr>
          <w:ilvl w:val="3"/>
          <w:numId w:val="4"/>
        </w:numPr>
        <w:overflowPunct/>
        <w:autoSpaceDE/>
        <w:autoSpaceDN/>
        <w:adjustRightInd/>
        <w:spacing w:after="120"/>
        <w:ind w:left="2280" w:firstLineChars="0"/>
        <w:textAlignment w:val="auto"/>
        <w:rPr>
          <w:rFonts w:eastAsia="宋体"/>
          <w:bCs/>
          <w:color w:val="0570C0"/>
          <w:lang w:val="en-US" w:eastAsia="zh-CN"/>
        </w:rPr>
      </w:pPr>
      <w:r>
        <w:rPr>
          <w:rFonts w:hint="eastAsia" w:eastAsia="宋体"/>
          <w:bCs/>
          <w:color w:val="0570C0"/>
          <w:lang w:val="en-US" w:eastAsia="zh-CN"/>
        </w:rPr>
        <w:t>Event triggered reporting on SCC with deactivated SCell test under non-DRX</w:t>
      </w:r>
    </w:p>
    <w:p w14:paraId="6FF08D92">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2: Define test case for d</w:t>
      </w:r>
      <w:r>
        <w:rPr>
          <w:rFonts w:eastAsia="宋体"/>
          <w:color w:val="0070C0"/>
          <w:szCs w:val="24"/>
          <w:lang w:val="en-US" w:eastAsia="zh-CN"/>
        </w:rPr>
        <w:t>eactivated SCell measurement</w:t>
      </w:r>
      <w:r>
        <w:rPr>
          <w:rFonts w:hint="eastAsia" w:eastAsia="宋体"/>
          <w:color w:val="0070C0"/>
          <w:szCs w:val="24"/>
          <w:lang w:val="en-US" w:eastAsia="zh-CN"/>
        </w:rPr>
        <w:t xml:space="preserve"> requirement (CMCC)</w:t>
      </w:r>
    </w:p>
    <w:p w14:paraId="6FCEADDA">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3: Open to discuss whether define test cases for the following core requirement (CMCC)</w:t>
      </w:r>
    </w:p>
    <w:p w14:paraId="0ADAAC2F">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eastAsia="宋体"/>
          <w:color w:val="0070C0"/>
          <w:szCs w:val="24"/>
          <w:lang w:val="en-US" w:eastAsia="zh-CN"/>
        </w:rPr>
        <w:t>Direct SCell Activation at RRC Resume</w:t>
      </w:r>
    </w:p>
    <w:p w14:paraId="08AE1F63">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eastAsia="宋体"/>
          <w:color w:val="0070C0"/>
          <w:szCs w:val="24"/>
          <w:lang w:val="en-US" w:eastAsia="zh-CN"/>
        </w:rPr>
        <w:t>non-simultaneous Timer based BWP switch delay on multiple CCs</w:t>
      </w:r>
    </w:p>
    <w:p w14:paraId="279D25D2">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eastAsia="宋体"/>
          <w:color w:val="0070C0"/>
          <w:szCs w:val="24"/>
          <w:lang w:val="en-US" w:eastAsia="zh-CN"/>
        </w:rPr>
        <w:t>Pre-configured measurement gap requirement</w:t>
      </w:r>
    </w:p>
    <w:p w14:paraId="149B58B3">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4: (CATT)</w:t>
      </w:r>
    </w:p>
    <w:p w14:paraId="238A2FDD">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TC for SCell Activation and Deactivation Delay for ATG</w:t>
      </w:r>
    </w:p>
    <w:p w14:paraId="4F02FD77">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FFS: TC for Interruption for ATG</w:t>
      </w:r>
    </w:p>
    <w:p w14:paraId="20C24F3F">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 xml:space="preserve">TC for Simultaneous DCI-based and Timer-based Active BWP Switch on multiple CCs </w:t>
      </w:r>
    </w:p>
    <w:p w14:paraId="5FE97528">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TC for Simultaneous RRC-based Active BWP Switch on multiple CCs</w:t>
      </w:r>
    </w:p>
    <w:p w14:paraId="06FC3464">
      <w:pPr>
        <w:pStyle w:val="150"/>
        <w:numPr>
          <w:ilvl w:val="1"/>
          <w:numId w:val="4"/>
        </w:numPr>
        <w:overflowPunct/>
        <w:autoSpaceDE/>
        <w:autoSpaceDN/>
        <w:adjustRightInd/>
        <w:spacing w:after="120"/>
        <w:ind w:left="1440" w:firstLineChars="0"/>
        <w:textAlignment w:val="auto"/>
        <w:rPr>
          <w:rFonts w:eastAsia="宋体"/>
          <w:bCs/>
          <w:color w:val="0570C0"/>
          <w:lang w:val="en-US" w:eastAsia="zh-CN"/>
        </w:rPr>
      </w:pPr>
      <w:r>
        <w:rPr>
          <w:rFonts w:hint="eastAsia" w:eastAsia="宋体"/>
          <w:bCs/>
          <w:color w:val="0570C0"/>
          <w:lang w:val="en-US" w:eastAsia="zh-CN"/>
        </w:rPr>
        <w:t>Proposal 5: (HW)</w:t>
      </w:r>
    </w:p>
    <w:p w14:paraId="4109C1EE">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eastAsia="zh-CN"/>
        </w:rPr>
        <w:t>Performance requirement of interruption at NR SRS antenna port switching needs to be defined.</w:t>
      </w:r>
    </w:p>
    <w:p w14:paraId="1D122422">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 xml:space="preserve">FFS </w:t>
      </w:r>
      <w:r>
        <w:rPr>
          <w:rFonts w:hint="eastAsia" w:eastAsia="宋体"/>
          <w:color w:val="0070C0"/>
          <w:szCs w:val="24"/>
          <w:lang w:eastAsia="zh-CN"/>
        </w:rPr>
        <w:t xml:space="preserve">The performance requirement of interruption at NR SRS antenna port switching </w:t>
      </w:r>
      <w:r>
        <w:rPr>
          <w:rFonts w:hint="eastAsia" w:eastAsia="宋体"/>
          <w:color w:val="0070C0"/>
          <w:szCs w:val="24"/>
          <w:lang w:val="en-US" w:eastAsia="zh-CN"/>
        </w:rPr>
        <w:t>based on core requirement.</w:t>
      </w:r>
    </w:p>
    <w:p w14:paraId="35A29DBA">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eastAsia="zh-CN"/>
        </w:rPr>
        <w:t>Further discuss whether or not need to define the performance requirement of SCell Activation of SSB-less SCell in FR1 inter-band CA for ATG</w:t>
      </w:r>
    </w:p>
    <w:p w14:paraId="3DEEBB18">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eastAsia="zh-CN"/>
        </w:rPr>
        <w:t>The SCell activation and deactivation delay need the performance requirements. The following performance requirements table is a reference for RRM to discuss</w:t>
      </w:r>
    </w:p>
    <w:p w14:paraId="4662B5DE">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SCell Activation and deactivation performance requirements</w:t>
      </w:r>
    </w:p>
    <w:p w14:paraId="46FAA0D5">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SCell Activation and deactivation of known SCell in FR1 in non-DRX for 160 ms SCell measurement cycle</w:t>
      </w:r>
    </w:p>
    <w:p w14:paraId="5E242816">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SCell Activation and deactivation of known SCell in FR1 in non-DRX for 640 ms SCell measurement cycle</w:t>
      </w:r>
    </w:p>
    <w:p w14:paraId="54FBBE10">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SCell Activation and deactivation of unknown SCell in FR1 in non-DRX</w:t>
      </w:r>
    </w:p>
    <w:p w14:paraId="302C22D7">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Direct SCell activation at SCell addition of known SCell in FR1</w:t>
      </w:r>
    </w:p>
    <w:p w14:paraId="2CEDBF1C">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Direct SCell activation at handover with known SCell in FR1</w:t>
      </w:r>
    </w:p>
    <w:p w14:paraId="7AFCF16D">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PUCCH SCell Activation and deactivation of known SCell in FR1</w:t>
      </w:r>
    </w:p>
    <w:p w14:paraId="2B9DA44F">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SCell Activation and deactivation of unknown SCell in FR1 in non-DRX</w:t>
      </w:r>
    </w:p>
    <w:p w14:paraId="2BEE6C1D">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SCell Activation and Deactivation of one FR1 known PUCCH SCell and one FR1 unknown SCell with single activation/deactivation command</w:t>
      </w:r>
    </w:p>
    <w:p w14:paraId="25342F92">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SCell Activation and deactivation of unknown PUCCH SCell and unknown DL SCell in FR1 in non-DRX</w:t>
      </w:r>
    </w:p>
    <w:p w14:paraId="61BA0A0F">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Fast SCell Activation of known SCell in FR1 in non-DRX for 160 ms SCell measurement cycle</w:t>
      </w:r>
    </w:p>
    <w:p w14:paraId="0956C3CF">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SCell Activation of known SCell in FR1 in non-DRX for 640 ms SCell measurement cycle</w:t>
      </w:r>
    </w:p>
    <w:p w14:paraId="6B60BE00">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SCell Activation of multiple unknown SCells in FR1 with L3 reporting with single activation/deactivation commandin non-DRX</w:t>
      </w:r>
    </w:p>
    <w:p w14:paraId="3605D5D1">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SCell Activation of unknown SCell with valid L3 measurement results in FR1 in non-DRX for 160 ms SCell measurement cycle</w:t>
      </w:r>
    </w:p>
    <w:p w14:paraId="38352D6A">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TRS based SCell Activation of SSB-less SCell in FR1 inter-band CA in non-DRX</w:t>
      </w:r>
    </w:p>
    <w:p w14:paraId="47C7F3ED">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6: (ZTE)</w:t>
      </w:r>
    </w:p>
    <w:p w14:paraId="252D606E">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Focus on the new functionalities introduced for R19 ATG that were not defined in R18 single carrier ATG, i.e. mainly the DL CA relevant features and antenna array relevant features.</w:t>
      </w:r>
    </w:p>
    <w:p w14:paraId="399EC4C2">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TC1: Intra-frequency measurement(with scheduling restriction verified as well)</w:t>
      </w:r>
    </w:p>
    <w:p w14:paraId="1639356F">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TC2: Inter-frequency measurement(with scheduling restriction verified as well)</w:t>
      </w:r>
    </w:p>
    <w:p w14:paraId="1286C379">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TC3: L1-RSRP measurement</w:t>
      </w:r>
    </w:p>
    <w:p w14:paraId="1B95D8C4">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TC4: The interruption of SCell addition/release</w:t>
      </w:r>
    </w:p>
    <w:p w14:paraId="6509A90E">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TC5: The interruption of SCell activation/deactivation</w:t>
      </w:r>
    </w:p>
    <w:p w14:paraId="22D6C289">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RAN4 discusses whether all these test cases need to verify two categories of UE antenna assumption:</w:t>
      </w:r>
    </w:p>
    <w:p w14:paraId="6F008A40">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Category 1: common Rx beam in PCC and SCC band(s), including intra-band antenna array and Case 4 of inter-band</w:t>
      </w:r>
    </w:p>
    <w:p w14:paraId="75F799E5">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Category 2: separate Rx beam in PCC and SCC bands, including other cases</w:t>
      </w:r>
    </w:p>
    <w:p w14:paraId="145DA374">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7: (Ericsson)</w:t>
      </w:r>
    </w:p>
    <w:p w14:paraId="1A10C62E">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bookmarkStart w:id="0" w:name="_Toc194079564"/>
      <w:r>
        <w:rPr>
          <w:rFonts w:hint="eastAsia" w:eastAsia="宋体"/>
          <w:color w:val="0070C0"/>
          <w:szCs w:val="24"/>
          <w:lang w:val="en-US" w:eastAsia="zh-CN"/>
        </w:rPr>
        <w:t>New test cases developed for NR ATG CA will only be relevant to DL Co-existence FR1 CA.</w:t>
      </w:r>
      <w:bookmarkEnd w:id="0"/>
    </w:p>
    <w:p w14:paraId="1905F665">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 xml:space="preserve"> discuss and agree on the test cases based on Table 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1"/>
        <w:gridCol w:w="1971"/>
        <w:gridCol w:w="1971"/>
        <w:gridCol w:w="1972"/>
        <w:gridCol w:w="1972"/>
      </w:tblGrid>
      <w:tr w14:paraId="7BB74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vAlign w:val="bottom"/>
          </w:tcPr>
          <w:p w14:paraId="264178EF">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b/>
                <w:bCs/>
                <w:color w:val="0070C0"/>
                <w:sz w:val="20"/>
                <w:szCs w:val="20"/>
                <w:lang w:val="en-US" w:bidi="ar"/>
              </w:rPr>
              <w:t>No.</w:t>
            </w:r>
          </w:p>
        </w:tc>
        <w:tc>
          <w:tcPr>
            <w:tcW w:w="1971" w:type="dxa"/>
            <w:vAlign w:val="bottom"/>
          </w:tcPr>
          <w:p w14:paraId="77D39618">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b/>
                <w:bCs/>
                <w:color w:val="0070C0"/>
                <w:sz w:val="20"/>
                <w:szCs w:val="20"/>
                <w:lang w:val="en-US" w:bidi="ar"/>
              </w:rPr>
              <w:t>Item of Core Requirements</w:t>
            </w:r>
          </w:p>
        </w:tc>
        <w:tc>
          <w:tcPr>
            <w:tcW w:w="1971" w:type="dxa"/>
            <w:vAlign w:val="bottom"/>
          </w:tcPr>
          <w:p w14:paraId="09C50591">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b/>
                <w:bCs/>
                <w:color w:val="0070C0"/>
                <w:sz w:val="20"/>
                <w:szCs w:val="20"/>
                <w:lang w:val="en-US" w:bidi="ar"/>
              </w:rPr>
              <w:t>Type of Test Cases</w:t>
            </w:r>
          </w:p>
        </w:tc>
        <w:tc>
          <w:tcPr>
            <w:tcW w:w="1972" w:type="dxa"/>
            <w:vAlign w:val="bottom"/>
          </w:tcPr>
          <w:p w14:paraId="2C0F4566">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b/>
                <w:bCs/>
                <w:color w:val="0070C0"/>
                <w:sz w:val="20"/>
                <w:szCs w:val="20"/>
                <w:lang w:val="en-US" w:bidi="ar"/>
              </w:rPr>
              <w:t>Subclause</w:t>
            </w:r>
          </w:p>
        </w:tc>
        <w:tc>
          <w:tcPr>
            <w:tcW w:w="1972" w:type="dxa"/>
            <w:vAlign w:val="bottom"/>
          </w:tcPr>
          <w:p w14:paraId="00EC338B">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b/>
                <w:bCs/>
                <w:color w:val="0070C0"/>
                <w:sz w:val="20"/>
                <w:szCs w:val="20"/>
                <w:lang w:val="en-US" w:bidi="ar"/>
              </w:rPr>
              <w:t>Note</w:t>
            </w:r>
          </w:p>
        </w:tc>
      </w:tr>
      <w:tr w14:paraId="5D259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vAlign w:val="center"/>
          </w:tcPr>
          <w:p w14:paraId="27BAC1F9">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1-1</w:t>
            </w:r>
          </w:p>
        </w:tc>
        <w:tc>
          <w:tcPr>
            <w:tcW w:w="1971" w:type="dxa"/>
            <w:vAlign w:val="center"/>
          </w:tcPr>
          <w:p w14:paraId="72FFEB91">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Interruption</w:t>
            </w:r>
          </w:p>
        </w:tc>
        <w:tc>
          <w:tcPr>
            <w:tcW w:w="1971" w:type="dxa"/>
            <w:vAlign w:val="center"/>
          </w:tcPr>
          <w:p w14:paraId="0433C8EA">
            <w:pPr>
              <w:overflowPunct w:val="0"/>
              <w:autoSpaceDE w:val="0"/>
              <w:autoSpaceDN w:val="0"/>
              <w:adjustRightInd w:val="0"/>
              <w:textAlignment w:val="center"/>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Interruptions during measurements on deactivated NR SCC in FR1</w:t>
            </w:r>
          </w:p>
        </w:tc>
        <w:tc>
          <w:tcPr>
            <w:tcW w:w="1972" w:type="dxa"/>
            <w:vAlign w:val="center"/>
          </w:tcPr>
          <w:p w14:paraId="41B3275D">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A.19.4.X</w:t>
            </w:r>
          </w:p>
        </w:tc>
        <w:tc>
          <w:tcPr>
            <w:tcW w:w="1972" w:type="dxa"/>
            <w:vAlign w:val="center"/>
          </w:tcPr>
          <w:p w14:paraId="0B406416">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Extend NR test cases for ATG-specific interruption behavior based on A.6.5.2.1</w:t>
            </w:r>
          </w:p>
        </w:tc>
      </w:tr>
      <w:tr w14:paraId="4DA6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vAlign w:val="center"/>
          </w:tcPr>
          <w:p w14:paraId="742EA2E7">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1-2</w:t>
            </w:r>
          </w:p>
        </w:tc>
        <w:tc>
          <w:tcPr>
            <w:tcW w:w="1971" w:type="dxa"/>
            <w:vAlign w:val="center"/>
          </w:tcPr>
          <w:p w14:paraId="2B276BBB">
            <w:pPr>
              <w:overflowPunct w:val="0"/>
              <w:autoSpaceDE w:val="0"/>
              <w:autoSpaceDN w:val="0"/>
              <w:adjustRightInd w:val="0"/>
              <w:textAlignment w:val="baseline"/>
              <w:rPr>
                <w:rFonts w:hint="default" w:ascii="Times New Roman" w:hAnsi="Times New Roman" w:eastAsia="宋体" w:cs="Times New Roman"/>
                <w:color w:val="0070C0"/>
                <w:szCs w:val="24"/>
                <w:vertAlign w:val="baseline"/>
                <w:lang w:val="en-US" w:eastAsia="zh-CN"/>
              </w:rPr>
            </w:pPr>
          </w:p>
        </w:tc>
        <w:tc>
          <w:tcPr>
            <w:tcW w:w="1971" w:type="dxa"/>
            <w:vAlign w:val="center"/>
          </w:tcPr>
          <w:p w14:paraId="1A42F6D1">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 xml:space="preserve"> Interruptions at NR SRS antenna port switching</w:t>
            </w:r>
          </w:p>
        </w:tc>
        <w:tc>
          <w:tcPr>
            <w:tcW w:w="1972" w:type="dxa"/>
            <w:vAlign w:val="center"/>
          </w:tcPr>
          <w:p w14:paraId="527602AC">
            <w:pPr>
              <w:overflowPunct w:val="0"/>
              <w:autoSpaceDE w:val="0"/>
              <w:autoSpaceDN w:val="0"/>
              <w:adjustRightInd w:val="0"/>
              <w:textAlignment w:val="baseline"/>
              <w:rPr>
                <w:rFonts w:hint="default" w:ascii="Times New Roman" w:hAnsi="Times New Roman" w:eastAsia="宋体" w:cs="Times New Roman"/>
                <w:color w:val="0070C0"/>
                <w:szCs w:val="24"/>
                <w:vertAlign w:val="baseline"/>
                <w:lang w:val="en-US" w:eastAsia="zh-CN"/>
              </w:rPr>
            </w:pPr>
          </w:p>
        </w:tc>
        <w:tc>
          <w:tcPr>
            <w:tcW w:w="1972" w:type="dxa"/>
            <w:vAlign w:val="center"/>
          </w:tcPr>
          <w:p w14:paraId="08C9A7DF">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Extend NR test cases for ATG-specific interruption behavior based on A.6.5.2.4</w:t>
            </w:r>
          </w:p>
        </w:tc>
      </w:tr>
      <w:tr w14:paraId="4E52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vAlign w:val="center"/>
          </w:tcPr>
          <w:p w14:paraId="3742D8F2">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2-1</w:t>
            </w:r>
          </w:p>
        </w:tc>
        <w:tc>
          <w:tcPr>
            <w:tcW w:w="1971" w:type="dxa"/>
            <w:vAlign w:val="center"/>
          </w:tcPr>
          <w:p w14:paraId="13E344A9">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SCell Activation Delay</w:t>
            </w:r>
          </w:p>
        </w:tc>
        <w:tc>
          <w:tcPr>
            <w:tcW w:w="1971" w:type="dxa"/>
            <w:vAlign w:val="center"/>
          </w:tcPr>
          <w:p w14:paraId="58FE8169">
            <w:pPr>
              <w:overflowPunct w:val="0"/>
              <w:autoSpaceDE w:val="0"/>
              <w:autoSpaceDN w:val="0"/>
              <w:adjustRightInd w:val="0"/>
              <w:textAlignment w:val="center"/>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SCell activation and deactivation of Scell for ATG</w:t>
            </w:r>
          </w:p>
        </w:tc>
        <w:tc>
          <w:tcPr>
            <w:tcW w:w="1972" w:type="dxa"/>
            <w:vAlign w:val="center"/>
          </w:tcPr>
          <w:p w14:paraId="57E4F206">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A.19.4.X</w:t>
            </w:r>
          </w:p>
        </w:tc>
        <w:tc>
          <w:tcPr>
            <w:tcW w:w="1972" w:type="dxa"/>
            <w:vAlign w:val="center"/>
          </w:tcPr>
          <w:p w14:paraId="33130420">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 xml:space="preserve">Modify Test case for SCell known, unknown based on A.6.5.3.1 / A.6.5.3.2 / A.6.5.3.3 </w:t>
            </w:r>
          </w:p>
        </w:tc>
      </w:tr>
      <w:tr w14:paraId="1BFAC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vAlign w:val="center"/>
          </w:tcPr>
          <w:p w14:paraId="3ACB17B8">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3-1</w:t>
            </w:r>
          </w:p>
        </w:tc>
        <w:tc>
          <w:tcPr>
            <w:tcW w:w="1971" w:type="dxa"/>
            <w:vAlign w:val="center"/>
          </w:tcPr>
          <w:p w14:paraId="7A2FD5E4">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Beam Failure Recovery</w:t>
            </w:r>
          </w:p>
        </w:tc>
        <w:tc>
          <w:tcPr>
            <w:tcW w:w="1971" w:type="dxa"/>
            <w:vAlign w:val="center"/>
          </w:tcPr>
          <w:p w14:paraId="7783BDED">
            <w:pPr>
              <w:overflowPunct w:val="0"/>
              <w:autoSpaceDE w:val="0"/>
              <w:autoSpaceDN w:val="0"/>
              <w:adjustRightInd w:val="0"/>
              <w:textAlignment w:val="center"/>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Beam Failure Detection and Link Recovery Test for FR1 SCell configured with CSI-RS-based BFD and SSB-based LR in non-DRX mode for ATG</w:t>
            </w:r>
          </w:p>
        </w:tc>
        <w:tc>
          <w:tcPr>
            <w:tcW w:w="1972" w:type="dxa"/>
            <w:vAlign w:val="center"/>
          </w:tcPr>
          <w:p w14:paraId="35D05C2A">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 xml:space="preserve"> A.19.4.2.X </w:t>
            </w:r>
          </w:p>
        </w:tc>
        <w:tc>
          <w:tcPr>
            <w:tcW w:w="1972" w:type="dxa"/>
            <w:vAlign w:val="center"/>
          </w:tcPr>
          <w:p w14:paraId="07212AEE">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Modify test case based on A.6.5.5</w:t>
            </w:r>
          </w:p>
        </w:tc>
      </w:tr>
      <w:tr w14:paraId="795D0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vAlign w:val="center"/>
          </w:tcPr>
          <w:p w14:paraId="1B3A1209">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4-1</w:t>
            </w:r>
          </w:p>
        </w:tc>
        <w:tc>
          <w:tcPr>
            <w:tcW w:w="1971" w:type="dxa"/>
            <w:vAlign w:val="center"/>
          </w:tcPr>
          <w:p w14:paraId="6F67DAA3">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Active BWP Switch Delay</w:t>
            </w:r>
          </w:p>
        </w:tc>
        <w:tc>
          <w:tcPr>
            <w:tcW w:w="1971" w:type="dxa"/>
            <w:vAlign w:val="center"/>
          </w:tcPr>
          <w:p w14:paraId="22F31248">
            <w:pPr>
              <w:overflowPunct w:val="0"/>
              <w:autoSpaceDE w:val="0"/>
              <w:autoSpaceDN w:val="0"/>
              <w:adjustRightInd w:val="0"/>
              <w:textAlignment w:val="center"/>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NR FR1- NR FR1 DL active BWP switch of SCell with non-DRX</w:t>
            </w:r>
          </w:p>
        </w:tc>
        <w:tc>
          <w:tcPr>
            <w:tcW w:w="1972" w:type="dxa"/>
            <w:vAlign w:val="center"/>
          </w:tcPr>
          <w:p w14:paraId="6433830D">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A.19.4.3.X</w:t>
            </w:r>
          </w:p>
        </w:tc>
        <w:tc>
          <w:tcPr>
            <w:tcW w:w="1972" w:type="dxa"/>
            <w:vAlign w:val="center"/>
          </w:tcPr>
          <w:p w14:paraId="181E81BD">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New test case required based on A.6.5.6.1.1</w:t>
            </w:r>
          </w:p>
        </w:tc>
      </w:tr>
      <w:tr w14:paraId="60AE3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vAlign w:val="center"/>
          </w:tcPr>
          <w:p w14:paraId="7C58E7CB">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5-1</w:t>
            </w:r>
          </w:p>
        </w:tc>
        <w:tc>
          <w:tcPr>
            <w:tcW w:w="1971" w:type="dxa"/>
            <w:vAlign w:val="center"/>
          </w:tcPr>
          <w:p w14:paraId="0C3FB945">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L3 Measurement</w:t>
            </w:r>
          </w:p>
        </w:tc>
        <w:tc>
          <w:tcPr>
            <w:tcW w:w="1971" w:type="dxa"/>
            <w:vAlign w:val="center"/>
          </w:tcPr>
          <w:p w14:paraId="310C7FD1">
            <w:pPr>
              <w:overflowPunct w:val="0"/>
              <w:autoSpaceDE w:val="0"/>
              <w:autoSpaceDN w:val="0"/>
              <w:adjustRightInd w:val="0"/>
              <w:textAlignment w:val="center"/>
              <w:rPr>
                <w:rFonts w:hint="default" w:ascii="Times New Roman" w:hAnsi="Times New Roman" w:eastAsia="sans-serif" w:cs="Times New Roman"/>
                <w:color w:val="0070C0"/>
                <w:sz w:val="20"/>
                <w:szCs w:val="20"/>
                <w:lang w:val="zh-CN" w:bidi="ar"/>
              </w:rPr>
            </w:pPr>
            <w:r>
              <w:rPr>
                <w:rFonts w:hint="default" w:ascii="Times New Roman" w:hAnsi="Times New Roman" w:eastAsia="sans-serif" w:cs="Times New Roman"/>
                <w:color w:val="0070C0"/>
                <w:sz w:val="20"/>
                <w:szCs w:val="20"/>
                <w:lang w:val="en-US" w:bidi="ar"/>
              </w:rPr>
              <w:t xml:space="preserve">CSI-RS based intra and inter frequency Measurements for </w:t>
            </w:r>
            <w:r>
              <w:rPr>
                <w:rFonts w:hint="default" w:ascii="Times New Roman" w:hAnsi="Times New Roman" w:eastAsia="sans-serif" w:cs="Times New Roman"/>
                <w:color w:val="0070C0"/>
                <w:sz w:val="20"/>
                <w:szCs w:val="20"/>
                <w:lang w:val="zh-CN" w:bidi="ar"/>
              </w:rPr>
              <w:t>event-triggered reporting tests without gap under non-DRX</w:t>
            </w:r>
          </w:p>
          <w:p w14:paraId="3905EE55">
            <w:pPr>
              <w:overflowPunct w:val="0"/>
              <w:autoSpaceDE w:val="0"/>
              <w:autoSpaceDN w:val="0"/>
              <w:adjustRightInd w:val="0"/>
              <w:textAlignment w:val="center"/>
              <w:rPr>
                <w:rFonts w:hint="default" w:ascii="Times New Roman" w:hAnsi="Times New Roman" w:eastAsia="宋体" w:cs="Times New Roman"/>
                <w:color w:val="0070C0"/>
                <w:szCs w:val="24"/>
                <w:vertAlign w:val="baseline"/>
                <w:lang w:val="en-US" w:eastAsia="zh-CN"/>
              </w:rPr>
            </w:pPr>
          </w:p>
        </w:tc>
        <w:tc>
          <w:tcPr>
            <w:tcW w:w="1972" w:type="dxa"/>
            <w:vAlign w:val="center"/>
          </w:tcPr>
          <w:p w14:paraId="6DB2DC8E">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A.19.X.X</w:t>
            </w:r>
          </w:p>
        </w:tc>
        <w:tc>
          <w:tcPr>
            <w:tcW w:w="1972" w:type="dxa"/>
            <w:vAlign w:val="center"/>
          </w:tcPr>
          <w:p w14:paraId="5AE27640">
            <w:pPr>
              <w:overflowPunct w:val="0"/>
              <w:autoSpaceDE w:val="0"/>
              <w:autoSpaceDN w:val="0"/>
              <w:adjustRightInd w:val="0"/>
              <w:textAlignment w:val="bottom"/>
              <w:rPr>
                <w:rFonts w:hint="default" w:ascii="Times New Roman" w:hAnsi="Times New Roman" w:eastAsia="宋体" w:cs="Times New Roman"/>
                <w:color w:val="0070C0"/>
                <w:szCs w:val="24"/>
                <w:vertAlign w:val="baseline"/>
                <w:lang w:val="en-US" w:eastAsia="zh-CN"/>
              </w:rPr>
            </w:pPr>
            <w:r>
              <w:rPr>
                <w:rFonts w:hint="default" w:ascii="Times New Roman" w:hAnsi="Times New Roman" w:eastAsia="sans-serif" w:cs="Times New Roman"/>
                <w:color w:val="0070C0"/>
                <w:sz w:val="20"/>
                <w:szCs w:val="20"/>
                <w:lang w:val="en-US" w:bidi="ar"/>
              </w:rPr>
              <w:t xml:space="preserve">New test case required based on A.6.6.10 and A.6.6.11 </w:t>
            </w:r>
          </w:p>
        </w:tc>
      </w:tr>
    </w:tbl>
    <w:p w14:paraId="07B96D5E">
      <w:pPr>
        <w:pStyle w:val="150"/>
        <w:numPr>
          <w:ilvl w:val="0"/>
          <w:numId w:val="0"/>
        </w:numPr>
        <w:overflowPunct/>
        <w:autoSpaceDE/>
        <w:autoSpaceDN/>
        <w:adjustRightInd/>
        <w:spacing w:after="120"/>
        <w:textAlignment w:val="auto"/>
        <w:rPr>
          <w:rFonts w:eastAsia="宋体"/>
          <w:color w:val="0070C0"/>
          <w:szCs w:val="24"/>
          <w:lang w:val="en-US" w:eastAsia="zh-CN"/>
        </w:rPr>
      </w:pPr>
    </w:p>
    <w:p w14:paraId="679E3DAE">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04B7DE3B">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Try to summary based on the input from companies</w:t>
      </w:r>
    </w:p>
    <w:tbl>
      <w:tblPr>
        <w:tblStyle w:val="51"/>
        <w:tblW w:w="0" w:type="auto"/>
        <w:tblInd w:w="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5506"/>
        <w:gridCol w:w="1870"/>
      </w:tblGrid>
      <w:tr w14:paraId="59B8B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14:paraId="4CAD20B4">
            <w:pPr>
              <w:pStyle w:val="150"/>
              <w:overflowPunct/>
              <w:autoSpaceDE/>
              <w:autoSpaceDN/>
              <w:adjustRightInd/>
              <w:spacing w:after="120"/>
              <w:ind w:firstLine="0" w:firstLineChars="0"/>
              <w:textAlignment w:val="auto"/>
              <w:rPr>
                <w:rFonts w:eastAsia="宋体"/>
                <w:bCs/>
                <w:color w:val="0570C0"/>
                <w:lang w:val="en-US" w:eastAsia="zh-CN"/>
              </w:rPr>
            </w:pPr>
            <w:r>
              <w:rPr>
                <w:rFonts w:hint="eastAsia" w:eastAsia="宋体"/>
                <w:bCs/>
                <w:color w:val="0570C0"/>
                <w:lang w:val="en-US" w:eastAsia="zh-CN"/>
              </w:rPr>
              <w:t>Test category</w:t>
            </w:r>
          </w:p>
        </w:tc>
        <w:tc>
          <w:tcPr>
            <w:tcW w:w="5506" w:type="dxa"/>
          </w:tcPr>
          <w:p w14:paraId="6D58B51F">
            <w:pPr>
              <w:pStyle w:val="150"/>
              <w:overflowPunct/>
              <w:autoSpaceDE/>
              <w:autoSpaceDN/>
              <w:adjustRightInd/>
              <w:spacing w:after="120"/>
              <w:ind w:firstLine="0" w:firstLineChars="0"/>
              <w:textAlignment w:val="auto"/>
              <w:rPr>
                <w:rFonts w:eastAsia="宋体"/>
                <w:bCs/>
                <w:color w:val="0570C0"/>
                <w:lang w:val="en-US" w:eastAsia="zh-CN"/>
              </w:rPr>
            </w:pPr>
            <w:r>
              <w:rPr>
                <w:rFonts w:hint="eastAsia" w:eastAsia="宋体"/>
                <w:bCs/>
                <w:color w:val="0570C0"/>
                <w:lang w:val="en-US" w:eastAsia="zh-CN"/>
              </w:rPr>
              <w:t>Test cases</w:t>
            </w:r>
          </w:p>
        </w:tc>
        <w:tc>
          <w:tcPr>
            <w:tcW w:w="1870" w:type="dxa"/>
          </w:tcPr>
          <w:p w14:paraId="0FDF64B3">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Company comments</w:t>
            </w:r>
          </w:p>
        </w:tc>
      </w:tr>
      <w:tr w14:paraId="6B9A8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restart"/>
          </w:tcPr>
          <w:p w14:paraId="7DD3303F">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Interruption</w:t>
            </w:r>
          </w:p>
        </w:tc>
        <w:tc>
          <w:tcPr>
            <w:tcW w:w="5506" w:type="dxa"/>
          </w:tcPr>
          <w:p w14:paraId="224335F3">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Interruptions during measurements on deactivated NR SCC in FR1</w:t>
            </w:r>
          </w:p>
        </w:tc>
        <w:tc>
          <w:tcPr>
            <w:tcW w:w="1870" w:type="dxa"/>
          </w:tcPr>
          <w:p w14:paraId="0212567C">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387DE877">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Ericsson: Support</w:t>
            </w:r>
          </w:p>
        </w:tc>
      </w:tr>
      <w:tr w14:paraId="2005E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25A9E468">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34BE24EC">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Interruption requirement at SRS antenna port switching with 1 SRS symbol in a slot</w:t>
            </w:r>
          </w:p>
        </w:tc>
        <w:tc>
          <w:tcPr>
            <w:tcW w:w="1870" w:type="dxa"/>
          </w:tcPr>
          <w:p w14:paraId="1DDE6DCE">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457391C4">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HW: Support</w:t>
            </w:r>
          </w:p>
          <w:p w14:paraId="3570363F">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Ericsson: Support</w:t>
            </w:r>
          </w:p>
        </w:tc>
      </w:tr>
      <w:tr w14:paraId="7C325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6AC7AB14">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061A2FB4">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Interruption requirement at SRS antenna port switching with more than 1 SRS symbol in a slot</w:t>
            </w:r>
          </w:p>
        </w:tc>
        <w:tc>
          <w:tcPr>
            <w:tcW w:w="1870" w:type="dxa"/>
          </w:tcPr>
          <w:p w14:paraId="0BC328A0">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3EFAEE24">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HW: Support</w:t>
            </w:r>
          </w:p>
          <w:p w14:paraId="6FC26CBB">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Ericsson: Support</w:t>
            </w:r>
          </w:p>
        </w:tc>
      </w:tr>
      <w:tr w14:paraId="7957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5F397406">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3698DBDF">
            <w:pPr>
              <w:pStyle w:val="150"/>
              <w:overflowPunct/>
              <w:autoSpaceDE/>
              <w:autoSpaceDN/>
              <w:adjustRightInd/>
              <w:spacing w:after="120"/>
              <w:ind w:firstLine="0" w:firstLineChars="0"/>
              <w:textAlignment w:val="auto"/>
              <w:rPr>
                <w:rFonts w:eastAsia="宋体"/>
                <w:bCs/>
                <w:color w:val="0570C0"/>
                <w:lang w:val="en-US" w:eastAsia="zh-CN"/>
              </w:rPr>
            </w:pPr>
            <w:r>
              <w:rPr>
                <w:rFonts w:hint="eastAsia" w:eastAsia="宋体"/>
                <w:color w:val="0070C0"/>
                <w:szCs w:val="24"/>
                <w:lang w:eastAsia="zh-CN"/>
              </w:rPr>
              <w:t xml:space="preserve"> interruption at NR SRS antenna port switching</w:t>
            </w:r>
          </w:p>
        </w:tc>
        <w:tc>
          <w:tcPr>
            <w:tcW w:w="1870" w:type="dxa"/>
          </w:tcPr>
          <w:p w14:paraId="36FD7864">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HW: FFS</w:t>
            </w:r>
          </w:p>
        </w:tc>
      </w:tr>
      <w:tr w14:paraId="7488F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693AB448">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2CBB0C6C">
            <w:pPr>
              <w:pStyle w:val="150"/>
              <w:overflowPunct/>
              <w:autoSpaceDE/>
              <w:autoSpaceDN/>
              <w:adjustRightInd/>
              <w:spacing w:after="120"/>
              <w:ind w:firstLine="0" w:firstLineChars="0"/>
              <w:textAlignment w:val="auto"/>
              <w:rPr>
                <w:rFonts w:hint="eastAsia" w:eastAsia="宋体"/>
                <w:color w:val="0070C0"/>
                <w:szCs w:val="24"/>
                <w:lang w:val="sv-SE" w:eastAsia="zh-CN"/>
              </w:rPr>
            </w:pPr>
            <w:r>
              <w:rPr>
                <w:rFonts w:eastAsia="宋体"/>
                <w:color w:val="0070C0"/>
                <w:szCs w:val="24"/>
                <w:lang w:eastAsia="zh-CN"/>
              </w:rPr>
              <w:t>Interruptions at NR SRS carrier based switching</w:t>
            </w:r>
          </w:p>
        </w:tc>
        <w:tc>
          <w:tcPr>
            <w:tcW w:w="1870" w:type="dxa"/>
          </w:tcPr>
          <w:p w14:paraId="6A0BAF39">
            <w:pPr>
              <w:pStyle w:val="150"/>
              <w:overflowPunct/>
              <w:autoSpaceDE/>
              <w:autoSpaceDN/>
              <w:adjustRightInd/>
              <w:spacing w:after="120"/>
              <w:ind w:firstLine="0" w:firstLineChars="0"/>
              <w:textAlignment w:val="auto"/>
              <w:rPr>
                <w:rFonts w:hint="eastAsia" w:eastAsia="宋体"/>
                <w:color w:val="0070C0"/>
                <w:szCs w:val="24"/>
                <w:lang w:val="en-US" w:eastAsia="zh-CN"/>
              </w:rPr>
            </w:pPr>
            <w:r>
              <w:rPr>
                <w:rFonts w:hint="eastAsia" w:eastAsia="宋体"/>
                <w:color w:val="0070C0"/>
                <w:szCs w:val="24"/>
                <w:lang w:val="en-US" w:eastAsia="zh-CN"/>
              </w:rPr>
              <w:t>CATT: FFS</w:t>
            </w:r>
          </w:p>
        </w:tc>
      </w:tr>
      <w:tr w14:paraId="378B9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restart"/>
          </w:tcPr>
          <w:p w14:paraId="480F973F">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SCell Activation and deactivation</w:t>
            </w:r>
          </w:p>
        </w:tc>
        <w:tc>
          <w:tcPr>
            <w:tcW w:w="5506" w:type="dxa"/>
          </w:tcPr>
          <w:p w14:paraId="48A698E9">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SCell Activation and deactivation of known SCell in FR1 in non-DRX for 160 ms SCell measurement cycle</w:t>
            </w:r>
          </w:p>
        </w:tc>
        <w:tc>
          <w:tcPr>
            <w:tcW w:w="1870" w:type="dxa"/>
          </w:tcPr>
          <w:p w14:paraId="135C7FBE">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6351E774">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CATT: Support</w:t>
            </w:r>
          </w:p>
          <w:p w14:paraId="51FEB0B8">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Ericsson: Support</w:t>
            </w:r>
          </w:p>
          <w:p w14:paraId="443190E0">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HW: Support</w:t>
            </w:r>
          </w:p>
        </w:tc>
      </w:tr>
      <w:tr w14:paraId="46A6D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63CE5BF4">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7E4591E5">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SCell Activation and deactivation of known SCell in FR1 in non-DRX for 640 ms SCell measurement cycle</w:t>
            </w:r>
          </w:p>
        </w:tc>
        <w:tc>
          <w:tcPr>
            <w:tcW w:w="1870" w:type="dxa"/>
          </w:tcPr>
          <w:p w14:paraId="01100E60">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01E956DE">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CATT: Support</w:t>
            </w:r>
          </w:p>
          <w:p w14:paraId="4F50160A">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Ericsson: Support</w:t>
            </w:r>
          </w:p>
          <w:p w14:paraId="579CEEB5">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HW: Support</w:t>
            </w:r>
          </w:p>
        </w:tc>
      </w:tr>
      <w:tr w14:paraId="16925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7089A807">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75A5450E">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SCell Activation and deactivation of unknown SCell in FR1 in non-DRX</w:t>
            </w:r>
          </w:p>
        </w:tc>
        <w:tc>
          <w:tcPr>
            <w:tcW w:w="1870" w:type="dxa"/>
          </w:tcPr>
          <w:p w14:paraId="15871281">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3F6AE3CD">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CATT: Support</w:t>
            </w:r>
          </w:p>
          <w:p w14:paraId="3FD0A510">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HW: Support</w:t>
            </w:r>
          </w:p>
          <w:p w14:paraId="6A0F2616">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Ericsson: Support</w:t>
            </w:r>
          </w:p>
        </w:tc>
      </w:tr>
      <w:tr w14:paraId="7DFEA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75B9C9F1">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1736158E">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Direct SCell activation at SCell addition of known SCell in FR1</w:t>
            </w:r>
          </w:p>
        </w:tc>
        <w:tc>
          <w:tcPr>
            <w:tcW w:w="1870" w:type="dxa"/>
          </w:tcPr>
          <w:p w14:paraId="2F9B4B38">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7492EBCB">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CATT: Support</w:t>
            </w:r>
          </w:p>
          <w:p w14:paraId="62897D50">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HW: Support</w:t>
            </w:r>
          </w:p>
        </w:tc>
      </w:tr>
      <w:tr w14:paraId="28398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3F047B14">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1C56C4AE">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Direct SCell activation at handover with known SCell in FR1</w:t>
            </w:r>
          </w:p>
        </w:tc>
        <w:tc>
          <w:tcPr>
            <w:tcW w:w="1870" w:type="dxa"/>
          </w:tcPr>
          <w:p w14:paraId="2EB1058E">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47118529">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CATT: Support</w:t>
            </w:r>
          </w:p>
          <w:p w14:paraId="3F7E03B0">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HW: Support</w:t>
            </w:r>
          </w:p>
        </w:tc>
      </w:tr>
      <w:tr w14:paraId="73DA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585DDEFB">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4B9914F4">
            <w:pPr>
              <w:pStyle w:val="150"/>
              <w:overflowPunct/>
              <w:autoSpaceDE/>
              <w:autoSpaceDN/>
              <w:adjustRightInd/>
              <w:spacing w:after="120"/>
              <w:ind w:firstLine="0" w:firstLineChars="0"/>
              <w:textAlignment w:val="auto"/>
              <w:rPr>
                <w:rFonts w:eastAsia="宋体"/>
                <w:bCs/>
                <w:color w:val="0570C0"/>
                <w:lang w:val="en-US" w:eastAsia="zh-CN"/>
              </w:rPr>
            </w:pPr>
            <w:r>
              <w:rPr>
                <w:rFonts w:eastAsia="宋体"/>
                <w:color w:val="0070C0"/>
                <w:szCs w:val="24"/>
                <w:lang w:val="en-US" w:eastAsia="zh-CN"/>
              </w:rPr>
              <w:t>Direct SCell Activation at RRC Resume</w:t>
            </w:r>
          </w:p>
        </w:tc>
        <w:tc>
          <w:tcPr>
            <w:tcW w:w="1870" w:type="dxa"/>
            <w:shd w:val="clear" w:color="auto" w:fill="auto"/>
          </w:tcPr>
          <w:p w14:paraId="6059CE50">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FFS</w:t>
            </w:r>
          </w:p>
          <w:p w14:paraId="11492528">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CATT: Support</w:t>
            </w:r>
          </w:p>
        </w:tc>
      </w:tr>
      <w:tr w14:paraId="4194F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02F834B4">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41D25AC3">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Fast SCell Activation of known SCell in FR1 in non-DRX for 160 ms SCell measurement cycle</w:t>
            </w:r>
          </w:p>
        </w:tc>
        <w:tc>
          <w:tcPr>
            <w:tcW w:w="1870" w:type="dxa"/>
            <w:shd w:val="clear" w:color="auto" w:fill="auto"/>
          </w:tcPr>
          <w:p w14:paraId="2C930A60">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539BC6DD">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CATT: Support</w:t>
            </w:r>
          </w:p>
          <w:p w14:paraId="11567D4B">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HW: Support</w:t>
            </w:r>
          </w:p>
        </w:tc>
      </w:tr>
      <w:tr w14:paraId="1C12C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5A6FAAF1">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3C84A55D">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Fast SCell Activation of known SCell in FR1 in non-DRX for 640 ms SCell measurement cycle</w:t>
            </w:r>
          </w:p>
        </w:tc>
        <w:tc>
          <w:tcPr>
            <w:tcW w:w="1870" w:type="dxa"/>
            <w:shd w:val="clear" w:color="auto" w:fill="auto"/>
          </w:tcPr>
          <w:p w14:paraId="561D5A8D">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5CC27350">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CATT: Support</w:t>
            </w:r>
          </w:p>
          <w:p w14:paraId="0CDCFD06">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HW: Support</w:t>
            </w:r>
          </w:p>
        </w:tc>
      </w:tr>
      <w:tr w14:paraId="1BB3A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67D73320">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707A6017">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SCell Activation of unknown SCell with valid L3 measurement results in FR1 in non-DRX for 160 ms SCell measurement cycle</w:t>
            </w:r>
          </w:p>
        </w:tc>
        <w:tc>
          <w:tcPr>
            <w:tcW w:w="1870" w:type="dxa"/>
            <w:shd w:val="clear" w:color="auto" w:fill="auto"/>
          </w:tcPr>
          <w:p w14:paraId="1B9366F9">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4223FD35">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CATT: Support</w:t>
            </w:r>
          </w:p>
          <w:p w14:paraId="5EEB85EB">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HW: Support</w:t>
            </w:r>
          </w:p>
        </w:tc>
      </w:tr>
      <w:tr w14:paraId="7ED90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78E81621">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3B25D9F3">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TRS based SCell Activation of SSB-less SCell in FR1 inter-band CA in non-DRX</w:t>
            </w:r>
          </w:p>
        </w:tc>
        <w:tc>
          <w:tcPr>
            <w:tcW w:w="1870" w:type="dxa"/>
            <w:shd w:val="clear" w:color="auto" w:fill="auto"/>
          </w:tcPr>
          <w:p w14:paraId="19A57ABD">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0A70AC57">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CATT: Support</w:t>
            </w:r>
          </w:p>
          <w:p w14:paraId="02CC3950">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HW: Support</w:t>
            </w:r>
          </w:p>
        </w:tc>
      </w:tr>
      <w:tr w14:paraId="4F14F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1C934A2E">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275445AC">
            <w:pPr>
              <w:overflowPunct/>
              <w:autoSpaceDE/>
              <w:autoSpaceDN/>
              <w:adjustRightInd/>
              <w:spacing w:after="120"/>
              <w:textAlignment w:val="auto"/>
              <w:rPr>
                <w:rFonts w:eastAsia="Yu Mincho"/>
                <w:color w:val="0070C0"/>
                <w:szCs w:val="24"/>
                <w:lang w:eastAsia="zh-CN"/>
              </w:rPr>
            </w:pPr>
            <w:r>
              <w:rPr>
                <w:rFonts w:hint="eastAsia" w:eastAsia="Yu Mincho"/>
                <w:bCs/>
                <w:color w:val="0570C0"/>
                <w:lang w:val="en-US" w:eastAsia="zh-CN"/>
              </w:rPr>
              <w:t>Inter-band SSB-less SCell Activation based on A-TRS</w:t>
            </w:r>
          </w:p>
        </w:tc>
        <w:tc>
          <w:tcPr>
            <w:tcW w:w="1870" w:type="dxa"/>
            <w:shd w:val="clear" w:color="auto" w:fill="auto"/>
          </w:tcPr>
          <w:p w14:paraId="0CC9AB12">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210E4000">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CATT: Support</w:t>
            </w:r>
          </w:p>
          <w:p w14:paraId="671C4BE7">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HW: FFS</w:t>
            </w:r>
          </w:p>
        </w:tc>
      </w:tr>
      <w:tr w14:paraId="1A3F1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14:paraId="2E54C63B">
            <w:pPr>
              <w:pStyle w:val="150"/>
              <w:overflowPunct/>
              <w:autoSpaceDE/>
              <w:autoSpaceDN/>
              <w:adjustRightInd/>
              <w:spacing w:after="120"/>
              <w:ind w:firstLine="0" w:firstLineChars="0"/>
              <w:textAlignment w:val="auto"/>
              <w:rPr>
                <w:rFonts w:eastAsia="宋体"/>
                <w:bCs/>
                <w:color w:val="0570C0"/>
                <w:lang w:val="en-US" w:eastAsia="zh-CN"/>
              </w:rPr>
            </w:pPr>
            <w:r>
              <w:rPr>
                <w:rFonts w:hint="eastAsia" w:eastAsia="宋体"/>
                <w:color w:val="0070C0"/>
                <w:szCs w:val="24"/>
                <w:lang w:val="en-US" w:eastAsia="zh-CN"/>
              </w:rPr>
              <w:t>Beam Failure Recovery</w:t>
            </w:r>
          </w:p>
        </w:tc>
        <w:tc>
          <w:tcPr>
            <w:tcW w:w="5506" w:type="dxa"/>
          </w:tcPr>
          <w:p w14:paraId="5A9180DC">
            <w:pPr>
              <w:pStyle w:val="150"/>
              <w:overflowPunct/>
              <w:autoSpaceDE/>
              <w:autoSpaceDN/>
              <w:adjustRightInd/>
              <w:spacing w:after="120"/>
              <w:ind w:firstLine="0" w:firstLineChars="0"/>
              <w:textAlignment w:val="auto"/>
              <w:rPr>
                <w:rFonts w:eastAsia="宋体"/>
                <w:bCs/>
                <w:color w:val="0570C0"/>
                <w:lang w:val="en-US" w:eastAsia="zh-CN"/>
              </w:rPr>
            </w:pPr>
            <w:r>
              <w:rPr>
                <w:rFonts w:hint="eastAsia" w:eastAsia="宋体"/>
                <w:color w:val="0070C0"/>
                <w:szCs w:val="24"/>
                <w:lang w:val="en-US" w:eastAsia="zh-CN"/>
              </w:rPr>
              <w:t>Beam Failure Detection and Link Recovery Test for FR1 SCell configured with CSI-RS-based BFD and SSB-based LR in non-DRX mode for ATG</w:t>
            </w:r>
          </w:p>
        </w:tc>
        <w:tc>
          <w:tcPr>
            <w:tcW w:w="1870" w:type="dxa"/>
            <w:shd w:val="clear" w:color="auto" w:fill="auto"/>
          </w:tcPr>
          <w:p w14:paraId="4A52FCEC">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Ericsson: Support</w:t>
            </w:r>
          </w:p>
        </w:tc>
      </w:tr>
      <w:tr w14:paraId="75E66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restart"/>
          </w:tcPr>
          <w:p w14:paraId="759AA8E9">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Active BWP Switch</w:t>
            </w:r>
          </w:p>
        </w:tc>
        <w:tc>
          <w:tcPr>
            <w:tcW w:w="5506" w:type="dxa"/>
          </w:tcPr>
          <w:p w14:paraId="098AA89D">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Simultaneous DCI-based and Timer-based Active BWP Switch on multiple CCs</w:t>
            </w:r>
          </w:p>
        </w:tc>
        <w:tc>
          <w:tcPr>
            <w:tcW w:w="1870" w:type="dxa"/>
            <w:shd w:val="clear" w:color="auto" w:fill="auto"/>
          </w:tcPr>
          <w:p w14:paraId="5FA83D83">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0C0D6703">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CATT: Support</w:t>
            </w:r>
          </w:p>
          <w:p w14:paraId="45AD5B25">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Ericsson: Support</w:t>
            </w:r>
          </w:p>
        </w:tc>
      </w:tr>
      <w:tr w14:paraId="1D50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7BA72790">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758FDCE6">
            <w:pPr>
              <w:overflowPunct/>
              <w:autoSpaceDE/>
              <w:autoSpaceDN/>
              <w:adjustRightInd/>
              <w:spacing w:after="120"/>
              <w:textAlignment w:val="auto"/>
              <w:rPr>
                <w:rFonts w:eastAsia="Yu Mincho"/>
                <w:color w:val="0070C0"/>
                <w:szCs w:val="24"/>
                <w:lang w:eastAsia="zh-CN"/>
              </w:rPr>
            </w:pPr>
            <w:r>
              <w:rPr>
                <w:rFonts w:hint="eastAsia" w:eastAsia="Yu Mincho"/>
                <w:bCs/>
                <w:color w:val="0570C0"/>
                <w:lang w:val="en-US" w:eastAsia="zh-CN"/>
              </w:rPr>
              <w:t>Simultaneous RRC-based Active BWP Switch on multiple CCs</w:t>
            </w:r>
          </w:p>
        </w:tc>
        <w:tc>
          <w:tcPr>
            <w:tcW w:w="1870" w:type="dxa"/>
            <w:shd w:val="clear" w:color="auto" w:fill="auto"/>
          </w:tcPr>
          <w:p w14:paraId="6627997C">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CMCC: Support</w:t>
            </w:r>
          </w:p>
          <w:p w14:paraId="21376F6B">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CATT: Support</w:t>
            </w:r>
          </w:p>
        </w:tc>
      </w:tr>
      <w:tr w14:paraId="0410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11F2A72C">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25C0DFF9">
            <w:pPr>
              <w:overflowPunct/>
              <w:autoSpaceDE/>
              <w:autoSpaceDN/>
              <w:adjustRightInd/>
              <w:spacing w:after="120"/>
              <w:textAlignment w:val="auto"/>
              <w:rPr>
                <w:rFonts w:eastAsia="Yu Mincho"/>
                <w:bCs/>
                <w:color w:val="0570C0"/>
                <w:lang w:val="en-US" w:eastAsia="zh-CN"/>
              </w:rPr>
            </w:pPr>
            <w:r>
              <w:rPr>
                <w:rFonts w:eastAsia="Yu Mincho"/>
                <w:color w:val="0070C0"/>
                <w:szCs w:val="24"/>
                <w:lang w:val="en-US" w:eastAsia="zh-CN"/>
              </w:rPr>
              <w:t>non-simultaneous Timer based BWP switch delay on multiple CCs</w:t>
            </w:r>
          </w:p>
        </w:tc>
        <w:tc>
          <w:tcPr>
            <w:tcW w:w="1870" w:type="dxa"/>
            <w:shd w:val="clear" w:color="auto" w:fill="auto"/>
          </w:tcPr>
          <w:p w14:paraId="48EE442E">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CMCC: FFS</w:t>
            </w:r>
          </w:p>
        </w:tc>
      </w:tr>
      <w:tr w14:paraId="411E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14:paraId="65B31C3A">
            <w:pPr>
              <w:pStyle w:val="150"/>
              <w:overflowPunct/>
              <w:autoSpaceDE/>
              <w:autoSpaceDN/>
              <w:adjustRightInd/>
              <w:spacing w:after="120"/>
              <w:ind w:firstLine="0" w:firstLineChars="0"/>
              <w:textAlignment w:val="auto"/>
              <w:rPr>
                <w:rFonts w:eastAsia="宋体"/>
                <w:bCs/>
                <w:color w:val="0570C0"/>
                <w:lang w:val="en-US" w:eastAsia="zh-CN"/>
              </w:rPr>
            </w:pPr>
            <w:r>
              <w:rPr>
                <w:rFonts w:hint="eastAsia" w:eastAsia="宋体"/>
                <w:bCs/>
                <w:color w:val="0570C0"/>
                <w:lang w:val="en-US" w:eastAsia="zh-CN"/>
              </w:rPr>
              <w:t>SCell dormancy switch</w:t>
            </w:r>
          </w:p>
          <w:p w14:paraId="3D50BD43">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2DBDDAB2">
            <w:pPr>
              <w:pStyle w:val="150"/>
              <w:overflowPunct/>
              <w:autoSpaceDE/>
              <w:autoSpaceDN/>
              <w:adjustRightInd/>
              <w:spacing w:after="120"/>
              <w:ind w:firstLine="0" w:firstLineChars="0"/>
              <w:textAlignment w:val="auto"/>
              <w:rPr>
                <w:rFonts w:eastAsia="宋体"/>
                <w:bCs/>
                <w:color w:val="0570C0"/>
                <w:lang w:val="en-US" w:eastAsia="zh-CN"/>
              </w:rPr>
            </w:pPr>
            <w:r>
              <w:rPr>
                <w:rFonts w:hint="eastAsia" w:eastAsia="宋体"/>
                <w:bCs/>
                <w:color w:val="0570C0"/>
                <w:lang w:val="en-US" w:eastAsia="zh-CN"/>
              </w:rPr>
              <w:t>SCell dormancy switch</w:t>
            </w:r>
          </w:p>
          <w:p w14:paraId="1BCE86A9">
            <w:pPr>
              <w:pStyle w:val="150"/>
              <w:overflowPunct/>
              <w:autoSpaceDE/>
              <w:autoSpaceDN/>
              <w:adjustRightInd/>
              <w:spacing w:after="120"/>
              <w:ind w:firstLine="0" w:firstLineChars="0"/>
              <w:textAlignment w:val="auto"/>
              <w:rPr>
                <w:rFonts w:eastAsia="宋体"/>
                <w:color w:val="0070C0"/>
                <w:szCs w:val="24"/>
                <w:lang w:eastAsia="zh-CN"/>
              </w:rPr>
            </w:pPr>
          </w:p>
        </w:tc>
        <w:tc>
          <w:tcPr>
            <w:tcW w:w="1870" w:type="dxa"/>
            <w:shd w:val="clear" w:color="auto" w:fill="auto"/>
          </w:tcPr>
          <w:p w14:paraId="02F7E811">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CMCC: Support</w:t>
            </w:r>
          </w:p>
        </w:tc>
      </w:tr>
      <w:tr w14:paraId="3943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14:paraId="7208026D">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d</w:t>
            </w:r>
            <w:r>
              <w:rPr>
                <w:rFonts w:eastAsia="宋体"/>
                <w:color w:val="0070C0"/>
                <w:szCs w:val="24"/>
                <w:lang w:val="en-US" w:eastAsia="zh-CN"/>
              </w:rPr>
              <w:t>eactivated SCell measurement</w:t>
            </w:r>
          </w:p>
        </w:tc>
        <w:tc>
          <w:tcPr>
            <w:tcW w:w="5506" w:type="dxa"/>
          </w:tcPr>
          <w:p w14:paraId="765D4D27">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bCs/>
                <w:color w:val="0570C0"/>
                <w:lang w:val="en-US" w:eastAsia="zh-CN"/>
              </w:rPr>
              <w:t>Event triggered reporting on SCC with deactivated SCell test under non-DRX</w:t>
            </w:r>
          </w:p>
        </w:tc>
        <w:tc>
          <w:tcPr>
            <w:tcW w:w="1870" w:type="dxa"/>
            <w:shd w:val="clear" w:color="auto" w:fill="auto"/>
          </w:tcPr>
          <w:p w14:paraId="53920E75">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CMCC: Support</w:t>
            </w:r>
          </w:p>
        </w:tc>
      </w:tr>
      <w:tr w14:paraId="3F9AB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14:paraId="6B782D27">
            <w:pPr>
              <w:pStyle w:val="150"/>
              <w:overflowPunct/>
              <w:autoSpaceDE/>
              <w:autoSpaceDN/>
              <w:adjustRightInd/>
              <w:spacing w:after="120"/>
              <w:ind w:firstLine="0" w:firstLineChars="0"/>
              <w:textAlignment w:val="auto"/>
              <w:rPr>
                <w:rFonts w:eastAsia="宋体"/>
                <w:color w:val="0070C0"/>
                <w:szCs w:val="24"/>
                <w:lang w:val="en-US" w:eastAsia="zh-CN"/>
              </w:rPr>
            </w:pPr>
            <w:r>
              <w:rPr>
                <w:rFonts w:eastAsia="宋体"/>
                <w:color w:val="0070C0"/>
                <w:szCs w:val="24"/>
                <w:lang w:val="en-US" w:eastAsia="zh-CN"/>
              </w:rPr>
              <w:t xml:space="preserve">Pre-configured measurement gap </w:t>
            </w:r>
          </w:p>
          <w:p w14:paraId="62D6DEA7">
            <w:pPr>
              <w:pStyle w:val="150"/>
              <w:overflowPunct/>
              <w:autoSpaceDE/>
              <w:autoSpaceDN/>
              <w:adjustRightInd/>
              <w:spacing w:after="120"/>
              <w:ind w:firstLine="0" w:firstLineChars="0"/>
              <w:textAlignment w:val="auto"/>
              <w:rPr>
                <w:rFonts w:eastAsia="宋体"/>
                <w:color w:val="0070C0"/>
                <w:szCs w:val="24"/>
                <w:lang w:eastAsia="zh-CN"/>
              </w:rPr>
            </w:pPr>
          </w:p>
        </w:tc>
        <w:tc>
          <w:tcPr>
            <w:tcW w:w="5506" w:type="dxa"/>
          </w:tcPr>
          <w:p w14:paraId="123EDBDC">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 xml:space="preserve">Test case for </w:t>
            </w:r>
            <w:r>
              <w:rPr>
                <w:rFonts w:eastAsia="宋体"/>
                <w:color w:val="0070C0"/>
                <w:szCs w:val="24"/>
                <w:lang w:val="en-US" w:eastAsia="zh-CN"/>
              </w:rPr>
              <w:t>Pre-configured measurement gap requirement</w:t>
            </w:r>
            <w:r>
              <w:rPr>
                <w:rFonts w:hint="eastAsia" w:eastAsia="宋体"/>
                <w:color w:val="0070C0"/>
                <w:szCs w:val="24"/>
                <w:lang w:val="en-US" w:eastAsia="zh-CN"/>
              </w:rPr>
              <w:t xml:space="preserve"> </w:t>
            </w:r>
          </w:p>
          <w:p w14:paraId="73BD019D">
            <w:pPr>
              <w:pStyle w:val="150"/>
              <w:overflowPunct/>
              <w:autoSpaceDE/>
              <w:autoSpaceDN/>
              <w:adjustRightInd/>
              <w:spacing w:after="120"/>
              <w:ind w:firstLine="0" w:firstLineChars="0"/>
              <w:textAlignment w:val="auto"/>
              <w:rPr>
                <w:rFonts w:eastAsia="宋体"/>
                <w:color w:val="0070C0"/>
                <w:szCs w:val="24"/>
                <w:lang w:eastAsia="zh-CN"/>
              </w:rPr>
            </w:pPr>
          </w:p>
        </w:tc>
        <w:tc>
          <w:tcPr>
            <w:tcW w:w="1870" w:type="dxa"/>
            <w:shd w:val="clear" w:color="auto" w:fill="auto"/>
          </w:tcPr>
          <w:p w14:paraId="1C45A2A0">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CMCC: FFS</w:t>
            </w:r>
          </w:p>
        </w:tc>
      </w:tr>
      <w:tr w14:paraId="664A8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restart"/>
          </w:tcPr>
          <w:p w14:paraId="6D23E340">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Others</w:t>
            </w:r>
          </w:p>
        </w:tc>
        <w:tc>
          <w:tcPr>
            <w:tcW w:w="5506" w:type="dxa"/>
          </w:tcPr>
          <w:p w14:paraId="3BC31657">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Intra-frequency measurement(with scheduling restriction verified as well)</w:t>
            </w:r>
          </w:p>
        </w:tc>
        <w:tc>
          <w:tcPr>
            <w:tcW w:w="1870" w:type="dxa"/>
            <w:shd w:val="clear" w:color="auto" w:fill="auto"/>
          </w:tcPr>
          <w:p w14:paraId="4CB2F856">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ZTE: Support</w:t>
            </w:r>
          </w:p>
        </w:tc>
      </w:tr>
      <w:tr w14:paraId="1C37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63EA3370">
            <w:pPr>
              <w:pStyle w:val="150"/>
              <w:overflowPunct/>
              <w:autoSpaceDE/>
              <w:autoSpaceDN/>
              <w:adjustRightInd/>
              <w:spacing w:after="120"/>
              <w:ind w:firstLine="0" w:firstLineChars="0"/>
              <w:textAlignment w:val="auto"/>
              <w:rPr>
                <w:rFonts w:eastAsia="宋体"/>
                <w:color w:val="0070C0"/>
                <w:szCs w:val="24"/>
                <w:lang w:val="en-US" w:eastAsia="zh-CN"/>
              </w:rPr>
            </w:pPr>
          </w:p>
        </w:tc>
        <w:tc>
          <w:tcPr>
            <w:tcW w:w="5506" w:type="dxa"/>
          </w:tcPr>
          <w:p w14:paraId="11A734EA">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Inter-frequency measurement(with scheduling restriction verified as well)</w:t>
            </w:r>
          </w:p>
        </w:tc>
        <w:tc>
          <w:tcPr>
            <w:tcW w:w="1870" w:type="dxa"/>
            <w:shd w:val="clear" w:color="auto" w:fill="auto"/>
          </w:tcPr>
          <w:p w14:paraId="68374D53">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ZTE: Support</w:t>
            </w:r>
          </w:p>
        </w:tc>
      </w:tr>
      <w:tr w14:paraId="62137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33760932">
            <w:pPr>
              <w:pStyle w:val="150"/>
              <w:overflowPunct/>
              <w:autoSpaceDE/>
              <w:autoSpaceDN/>
              <w:adjustRightInd/>
              <w:spacing w:after="120"/>
              <w:ind w:firstLine="0" w:firstLineChars="0"/>
              <w:textAlignment w:val="auto"/>
              <w:rPr>
                <w:rFonts w:eastAsia="宋体"/>
                <w:color w:val="0070C0"/>
                <w:szCs w:val="24"/>
                <w:lang w:val="en-US" w:eastAsia="zh-CN"/>
              </w:rPr>
            </w:pPr>
          </w:p>
        </w:tc>
        <w:tc>
          <w:tcPr>
            <w:tcW w:w="5506" w:type="dxa"/>
          </w:tcPr>
          <w:p w14:paraId="2B7B8017">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L1-RSRP measurement</w:t>
            </w:r>
          </w:p>
        </w:tc>
        <w:tc>
          <w:tcPr>
            <w:tcW w:w="1870" w:type="dxa"/>
            <w:shd w:val="clear" w:color="auto" w:fill="auto"/>
          </w:tcPr>
          <w:p w14:paraId="43540FA5">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ZTE: Support</w:t>
            </w:r>
          </w:p>
        </w:tc>
      </w:tr>
      <w:tr w14:paraId="73029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7D0CF29D">
            <w:pPr>
              <w:pStyle w:val="150"/>
              <w:overflowPunct/>
              <w:autoSpaceDE/>
              <w:autoSpaceDN/>
              <w:adjustRightInd/>
              <w:spacing w:after="120"/>
              <w:ind w:firstLine="0" w:firstLineChars="0"/>
              <w:textAlignment w:val="auto"/>
              <w:rPr>
                <w:rFonts w:eastAsia="宋体"/>
                <w:color w:val="0070C0"/>
                <w:szCs w:val="24"/>
                <w:lang w:val="en-US" w:eastAsia="zh-CN"/>
              </w:rPr>
            </w:pPr>
          </w:p>
        </w:tc>
        <w:tc>
          <w:tcPr>
            <w:tcW w:w="5506" w:type="dxa"/>
          </w:tcPr>
          <w:p w14:paraId="68CD2F41">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CSI-RS based intra and inter frequency Measurements for event-triggered reporting tests without gap under non-DRX</w:t>
            </w:r>
          </w:p>
        </w:tc>
        <w:tc>
          <w:tcPr>
            <w:tcW w:w="1870" w:type="dxa"/>
            <w:shd w:val="clear" w:color="auto" w:fill="auto"/>
          </w:tcPr>
          <w:p w14:paraId="7DA66A46">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Ericsson: Support</w:t>
            </w:r>
          </w:p>
        </w:tc>
      </w:tr>
      <w:tr w14:paraId="419D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5FFCB64D">
            <w:pPr>
              <w:pStyle w:val="150"/>
              <w:overflowPunct/>
              <w:autoSpaceDE/>
              <w:autoSpaceDN/>
              <w:adjustRightInd/>
              <w:spacing w:after="120"/>
              <w:ind w:firstLine="0" w:firstLineChars="0"/>
              <w:textAlignment w:val="auto"/>
              <w:rPr>
                <w:rFonts w:eastAsia="宋体"/>
                <w:color w:val="0070C0"/>
                <w:szCs w:val="24"/>
                <w:lang w:val="en-US" w:eastAsia="zh-CN"/>
              </w:rPr>
            </w:pPr>
          </w:p>
        </w:tc>
        <w:tc>
          <w:tcPr>
            <w:tcW w:w="5506" w:type="dxa"/>
          </w:tcPr>
          <w:p w14:paraId="32694A27">
            <w:pPr>
              <w:pStyle w:val="150"/>
              <w:overflowPunct/>
              <w:autoSpaceDE/>
              <w:autoSpaceDN/>
              <w:adjustRightInd/>
              <w:spacing w:after="120"/>
              <w:ind w:firstLine="0" w:firstLineChars="0"/>
              <w:textAlignment w:val="auto"/>
              <w:rPr>
                <w:rFonts w:eastAsia="宋体"/>
                <w:color w:val="0070C0"/>
                <w:szCs w:val="24"/>
                <w:lang w:eastAsia="zh-CN"/>
              </w:rPr>
            </w:pPr>
            <w:r>
              <w:rPr>
                <w:rFonts w:hint="eastAsia" w:eastAsia="宋体"/>
                <w:color w:val="0070C0"/>
                <w:szCs w:val="24"/>
                <w:lang w:val="en-US" w:eastAsia="zh-CN"/>
              </w:rPr>
              <w:t>The interruption of SCell addition/release</w:t>
            </w:r>
          </w:p>
        </w:tc>
        <w:tc>
          <w:tcPr>
            <w:tcW w:w="1870" w:type="dxa"/>
            <w:shd w:val="clear" w:color="auto" w:fill="auto"/>
          </w:tcPr>
          <w:p w14:paraId="49F4D114">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ZTE: Support</w:t>
            </w:r>
          </w:p>
        </w:tc>
      </w:tr>
      <w:tr w14:paraId="306DF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72931B19">
            <w:pPr>
              <w:pStyle w:val="150"/>
              <w:overflowPunct/>
              <w:autoSpaceDE/>
              <w:autoSpaceDN/>
              <w:adjustRightInd/>
              <w:spacing w:after="120"/>
              <w:ind w:firstLine="0" w:firstLineChars="0"/>
              <w:textAlignment w:val="auto"/>
              <w:rPr>
                <w:rFonts w:eastAsia="宋体"/>
                <w:color w:val="0070C0"/>
                <w:szCs w:val="24"/>
                <w:lang w:val="en-US" w:eastAsia="zh-CN"/>
              </w:rPr>
            </w:pPr>
          </w:p>
        </w:tc>
        <w:tc>
          <w:tcPr>
            <w:tcW w:w="5506" w:type="dxa"/>
          </w:tcPr>
          <w:p w14:paraId="77117C68">
            <w:pPr>
              <w:overflowPunct/>
              <w:autoSpaceDE/>
              <w:autoSpaceDN/>
              <w:adjustRightInd/>
              <w:spacing w:after="120"/>
              <w:textAlignment w:val="auto"/>
              <w:rPr>
                <w:rFonts w:eastAsia="Yu Mincho"/>
                <w:color w:val="0070C0"/>
                <w:szCs w:val="24"/>
                <w:lang w:eastAsia="zh-CN"/>
              </w:rPr>
            </w:pPr>
            <w:r>
              <w:rPr>
                <w:rFonts w:hint="eastAsia" w:eastAsia="Yu Mincho"/>
                <w:color w:val="0070C0"/>
                <w:szCs w:val="24"/>
                <w:lang w:val="en-US" w:eastAsia="zh-CN"/>
              </w:rPr>
              <w:t>The interruption of SCell activation/deactivation</w:t>
            </w:r>
          </w:p>
        </w:tc>
        <w:tc>
          <w:tcPr>
            <w:tcW w:w="1870" w:type="dxa"/>
            <w:shd w:val="clear" w:color="auto" w:fill="auto"/>
          </w:tcPr>
          <w:p w14:paraId="41789056">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ZTE: Support</w:t>
            </w:r>
          </w:p>
        </w:tc>
      </w:tr>
    </w:tbl>
    <w:p w14:paraId="000F2D11">
      <w:pPr>
        <w:pStyle w:val="150"/>
        <w:overflowPunct/>
        <w:autoSpaceDE/>
        <w:autoSpaceDN/>
        <w:adjustRightInd/>
        <w:spacing w:after="120"/>
        <w:ind w:firstLine="0" w:firstLineChars="0"/>
        <w:textAlignment w:val="auto"/>
        <w:rPr>
          <w:rFonts w:eastAsia="宋体"/>
          <w:color w:val="0070C0"/>
          <w:szCs w:val="24"/>
          <w:lang w:eastAsia="zh-CN"/>
        </w:rPr>
      </w:pPr>
    </w:p>
    <w:p w14:paraId="08D8EA45">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To be discussed based on the table above.</w:t>
      </w:r>
    </w:p>
    <w:p w14:paraId="28B9DA5D">
      <w:pPr>
        <w:rPr>
          <w:rFonts w:hint="eastAsia"/>
          <w:b/>
          <w:color w:val="0070C0"/>
          <w:u w:val="single"/>
          <w:lang w:val="en-US" w:eastAsia="zh-CN"/>
        </w:rPr>
      </w:pPr>
    </w:p>
    <w:p w14:paraId="1378A23A">
      <w:pPr>
        <w:rPr>
          <w:b/>
          <w:color w:val="0070C0"/>
          <w:u w:val="single"/>
          <w:lang w:val="sv-SE" w:eastAsia="zh-CN"/>
        </w:rPr>
      </w:pPr>
      <w:r>
        <w:rPr>
          <w:rFonts w:hint="eastAsia"/>
          <w:b/>
          <w:color w:val="0070C0"/>
          <w:u w:val="single"/>
          <w:lang w:val="en-US" w:eastAsia="zh-CN"/>
        </w:rPr>
        <w:t xml:space="preserve">Issue 1-2-4: </w:t>
      </w:r>
      <w:r>
        <w:rPr>
          <w:rFonts w:hint="eastAsia"/>
          <w:b/>
          <w:color w:val="0070C0"/>
          <w:u w:val="single"/>
          <w:lang w:val="sv-SE" w:eastAsia="zh-CN"/>
        </w:rPr>
        <w:t>SCell Addition/Activation mechanism</w:t>
      </w:r>
    </w:p>
    <w:p w14:paraId="7E6EC2E0">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220748CE">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1: D</w:t>
      </w:r>
      <w:r>
        <w:rPr>
          <w:rFonts w:eastAsia="宋体"/>
          <w:color w:val="0070C0"/>
          <w:szCs w:val="24"/>
          <w:lang w:val="en-US" w:eastAsia="zh-CN"/>
        </w:rPr>
        <w:t>istance triggered SCell addition can be considered</w:t>
      </w:r>
      <w:r>
        <w:rPr>
          <w:rFonts w:hint="eastAsia" w:eastAsia="宋体"/>
          <w:color w:val="0070C0"/>
          <w:szCs w:val="24"/>
          <w:lang w:val="en-US" w:eastAsia="zh-CN"/>
        </w:rPr>
        <w:t xml:space="preserve"> (CATT)</w:t>
      </w:r>
    </w:p>
    <w:p w14:paraId="172E82A0">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2: define distance triggered SCell addition and/or activation requirements with some distance related conditions only in RAN4 spec, where the measurements of SCell addition and scheduling restrictions on neighbor cell measurements on candidate SCC can be omitted. (CATT)</w:t>
      </w:r>
    </w:p>
    <w:p w14:paraId="30E45071">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3: </w:t>
      </w:r>
      <w:r>
        <w:rPr>
          <w:rFonts w:hint="eastAsia" w:eastAsia="宋体"/>
          <w:color w:val="0070C0"/>
          <w:szCs w:val="24"/>
          <w:lang w:eastAsia="zh-CN"/>
        </w:rPr>
        <w:t>The distance triggered SCell addition and/or activation is applicable to UE antenna Case 4 Exclusively</w:t>
      </w:r>
      <w:r>
        <w:rPr>
          <w:rFonts w:hint="eastAsia" w:eastAsia="宋体"/>
          <w:color w:val="0070C0"/>
          <w:szCs w:val="24"/>
          <w:lang w:val="en-US" w:eastAsia="zh-CN"/>
        </w:rPr>
        <w:t xml:space="preserve"> (HW)</w:t>
      </w:r>
    </w:p>
    <w:p w14:paraId="6C272729">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4: RAN4 should not support any UE initiated DL SCell activation mechanism (Ericsson)</w:t>
      </w:r>
    </w:p>
    <w:p w14:paraId="18858E8A">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36CA82D1">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To be discussed</w:t>
      </w:r>
    </w:p>
    <w:p w14:paraId="136D8DD3">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ZTE: We have concern on SCell activation and deactivation. The procedure shouldn</w:t>
      </w:r>
      <w:r>
        <w:rPr>
          <w:rFonts w:hint="default"/>
          <w:color w:val="0070C0"/>
          <w:lang w:val="en-US" w:eastAsia="zh-CN"/>
        </w:rPr>
        <w:t>’</w:t>
      </w:r>
      <w:r>
        <w:rPr>
          <w:rFonts w:hint="eastAsia"/>
          <w:color w:val="0070C0"/>
          <w:lang w:val="en-US" w:eastAsia="zh-CN"/>
        </w:rPr>
        <w:t>t out of network control. Prefer to follow legacy.</w:t>
      </w:r>
    </w:p>
    <w:p w14:paraId="34BD87FB">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CATT: This only for Case#4, we can deprioritize this one and focus on the measurement enhancement.</w:t>
      </w:r>
    </w:p>
    <w:p w14:paraId="3562CD55">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 xml:space="preserve">CMCC: also ok to deprioritize </w:t>
      </w:r>
    </w:p>
    <w:p w14:paraId="35B82CE9">
      <w:pPr>
        <w:pStyle w:val="150"/>
        <w:overflowPunct/>
        <w:autoSpaceDE/>
        <w:autoSpaceDN/>
        <w:adjustRightInd/>
        <w:spacing w:after="120"/>
        <w:ind w:firstLine="0" w:firstLineChars="0"/>
        <w:textAlignment w:val="auto"/>
        <w:rPr>
          <w:rFonts w:hint="default"/>
          <w:color w:val="0070C0"/>
          <w:lang w:val="en-US" w:eastAsia="zh-CN"/>
        </w:rPr>
      </w:pPr>
      <w:r>
        <w:rPr>
          <w:rFonts w:hint="eastAsia"/>
          <w:color w:val="0070C0"/>
          <w:lang w:val="en-US" w:eastAsia="zh-CN"/>
        </w:rPr>
        <w:t>QC: don</w:t>
      </w:r>
      <w:r>
        <w:rPr>
          <w:rFonts w:hint="default"/>
          <w:color w:val="0070C0"/>
          <w:lang w:val="en-US" w:eastAsia="zh-CN"/>
        </w:rPr>
        <w:t>’</w:t>
      </w:r>
      <w:r>
        <w:rPr>
          <w:rFonts w:hint="eastAsia"/>
          <w:color w:val="0070C0"/>
          <w:lang w:val="en-US" w:eastAsia="zh-CN"/>
        </w:rPr>
        <w:t>t support location-based mechanism</w:t>
      </w:r>
    </w:p>
    <w:p w14:paraId="55CD9570">
      <w:pPr>
        <w:pStyle w:val="150"/>
        <w:overflowPunct/>
        <w:autoSpaceDE/>
        <w:autoSpaceDN/>
        <w:adjustRightInd/>
        <w:spacing w:after="120"/>
        <w:ind w:firstLine="0" w:firstLineChars="0"/>
        <w:textAlignment w:val="auto"/>
        <w:rPr>
          <w:color w:val="0070C0"/>
          <w:lang w:val="en-US" w:eastAsia="zh-CN"/>
        </w:rPr>
      </w:pPr>
    </w:p>
    <w:p w14:paraId="2DF59FE7">
      <w:pPr>
        <w:rPr>
          <w:b/>
          <w:color w:val="0070C0"/>
          <w:u w:val="single"/>
          <w:lang w:val="sv-SE" w:eastAsia="zh-CN"/>
        </w:rPr>
      </w:pPr>
      <w:r>
        <w:rPr>
          <w:rFonts w:hint="eastAsia"/>
          <w:b/>
          <w:color w:val="0070C0"/>
          <w:u w:val="single"/>
          <w:lang w:val="en-US" w:eastAsia="zh-CN"/>
        </w:rPr>
        <w:t xml:space="preserve">Issue 1-2-5: </w:t>
      </w:r>
      <w:r>
        <w:rPr>
          <w:rFonts w:hint="eastAsia"/>
          <w:b/>
          <w:color w:val="0070C0"/>
          <w:u w:val="single"/>
          <w:lang w:val="sv-SE" w:eastAsia="zh-CN"/>
        </w:rPr>
        <w:t xml:space="preserve">SCell </w:t>
      </w:r>
      <w:r>
        <w:rPr>
          <w:rFonts w:hint="eastAsia"/>
          <w:b/>
          <w:color w:val="0070C0"/>
          <w:u w:val="single"/>
          <w:lang w:val="en-US" w:eastAsia="zh-CN"/>
        </w:rPr>
        <w:t xml:space="preserve"> Dea</w:t>
      </w:r>
      <w:r>
        <w:rPr>
          <w:rFonts w:hint="eastAsia"/>
          <w:b/>
          <w:color w:val="0070C0"/>
          <w:u w:val="single"/>
          <w:lang w:val="sv-SE" w:eastAsia="zh-CN"/>
        </w:rPr>
        <w:t>ctivation mechanism</w:t>
      </w:r>
    </w:p>
    <w:p w14:paraId="1DE1664E">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20F70CD2">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1: introduce a distance-based DL SCell deactivation mechanism (Ericsson)</w:t>
      </w:r>
    </w:p>
    <w:p w14:paraId="74B92511">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4028DCA3">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To be discussed                         </w:t>
      </w:r>
    </w:p>
    <w:p w14:paraId="3A276BEC">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CMCC: similar as last issue.</w:t>
      </w:r>
    </w:p>
    <w:p w14:paraId="267D03E1">
      <w:pPr>
        <w:pStyle w:val="150"/>
        <w:overflowPunct/>
        <w:autoSpaceDE/>
        <w:autoSpaceDN/>
        <w:adjustRightInd/>
        <w:spacing w:after="120"/>
        <w:ind w:firstLine="0" w:firstLineChars="0"/>
        <w:textAlignment w:val="auto"/>
        <w:rPr>
          <w:rFonts w:hint="default"/>
          <w:color w:val="0070C0"/>
          <w:lang w:val="en-US" w:eastAsia="zh-CN"/>
        </w:rPr>
      </w:pPr>
      <w:r>
        <w:rPr>
          <w:rFonts w:hint="eastAsia"/>
          <w:color w:val="0070C0"/>
          <w:lang w:val="en-US" w:eastAsia="zh-CN"/>
        </w:rPr>
        <w:t>Ericsson: UE out of SCell coverage, but the timer still active, may cause performance issue.</w:t>
      </w:r>
    </w:p>
    <w:p w14:paraId="67C4D160">
      <w:pPr>
        <w:pStyle w:val="150"/>
        <w:overflowPunct/>
        <w:autoSpaceDE/>
        <w:autoSpaceDN/>
        <w:adjustRightInd/>
        <w:spacing w:after="120"/>
        <w:ind w:firstLine="0" w:firstLineChars="0"/>
        <w:textAlignment w:val="auto"/>
        <w:rPr>
          <w:rFonts w:hint="eastAsia"/>
          <w:color w:val="0070C0"/>
          <w:lang w:val="en-US" w:eastAsia="zh-CN"/>
        </w:rPr>
      </w:pPr>
      <w:r>
        <w:rPr>
          <w:rFonts w:hint="eastAsia"/>
          <w:color w:val="0070C0"/>
          <w:lang w:val="en-US" w:eastAsia="zh-CN"/>
        </w:rPr>
        <w:t>QC: don</w:t>
      </w:r>
      <w:r>
        <w:rPr>
          <w:rFonts w:hint="default"/>
          <w:color w:val="0070C0"/>
          <w:lang w:val="en-US" w:eastAsia="zh-CN"/>
        </w:rPr>
        <w:t>’</w:t>
      </w:r>
      <w:r>
        <w:rPr>
          <w:rFonts w:hint="eastAsia"/>
          <w:color w:val="0070C0"/>
          <w:lang w:val="en-US" w:eastAsia="zh-CN"/>
        </w:rPr>
        <w:t>t know how it will work. Network could control the deactivation by measurement report.</w:t>
      </w:r>
    </w:p>
    <w:p w14:paraId="2BC24782">
      <w:pPr>
        <w:pStyle w:val="150"/>
        <w:overflowPunct/>
        <w:autoSpaceDE/>
        <w:autoSpaceDN/>
        <w:adjustRightInd/>
        <w:spacing w:after="120"/>
        <w:ind w:firstLine="0" w:firstLineChars="0"/>
        <w:textAlignment w:val="auto"/>
        <w:rPr>
          <w:rFonts w:hint="default"/>
          <w:color w:val="0070C0"/>
          <w:lang w:val="en-US" w:eastAsia="zh-CN"/>
        </w:rPr>
      </w:pPr>
      <w:r>
        <w:rPr>
          <w:rFonts w:hint="eastAsia"/>
          <w:color w:val="0070C0"/>
          <w:lang w:val="en-US" w:eastAsia="zh-CN"/>
        </w:rPr>
        <w:t>HW: deprioritize this one</w:t>
      </w:r>
    </w:p>
    <w:p w14:paraId="29B62514">
      <w:pPr>
        <w:pStyle w:val="150"/>
        <w:overflowPunct/>
        <w:autoSpaceDE/>
        <w:autoSpaceDN/>
        <w:adjustRightInd/>
        <w:spacing w:after="120"/>
        <w:ind w:firstLine="0" w:firstLineChars="0"/>
        <w:textAlignment w:val="auto"/>
        <w:rPr>
          <w:rFonts w:hint="default"/>
          <w:color w:val="0070C0"/>
          <w:lang w:val="en-US" w:eastAsia="zh-CN"/>
        </w:rPr>
      </w:pPr>
    </w:p>
    <w:p w14:paraId="1A299D90">
      <w:pPr>
        <w:pStyle w:val="150"/>
        <w:overflowPunct/>
        <w:autoSpaceDE/>
        <w:autoSpaceDN/>
        <w:adjustRightInd/>
        <w:spacing w:after="120"/>
        <w:ind w:firstLine="0" w:firstLineChars="0"/>
        <w:textAlignment w:val="auto"/>
        <w:rPr>
          <w:rFonts w:eastAsia="宋体"/>
          <w:color w:val="0070C0"/>
          <w:szCs w:val="24"/>
          <w:lang w:val="en-US" w:eastAsia="ko-KR"/>
        </w:rPr>
      </w:pPr>
    </w:p>
    <w:p w14:paraId="66BE96BC">
      <w:pPr>
        <w:pStyle w:val="150"/>
        <w:overflowPunct/>
        <w:autoSpaceDE/>
        <w:autoSpaceDN/>
        <w:adjustRightInd/>
        <w:spacing w:after="120"/>
        <w:ind w:firstLine="0" w:firstLineChars="0"/>
        <w:textAlignment w:val="auto"/>
        <w:rPr>
          <w:rFonts w:eastAsia="宋体"/>
          <w:b/>
          <w:color w:val="0070C0"/>
          <w:u w:val="single"/>
          <w:lang w:val="en-US" w:eastAsia="ko-KR"/>
        </w:rPr>
      </w:pPr>
      <w:r>
        <w:rPr>
          <w:rFonts w:hint="eastAsia" w:eastAsia="宋体"/>
          <w:b/>
          <w:color w:val="0070C0"/>
          <w:u w:val="single"/>
          <w:lang w:val="en-US" w:eastAsia="zh-CN"/>
        </w:rPr>
        <w:t>Issue 1-3-2: Sharing factor between L1 measurement and RRM measurement</w:t>
      </w:r>
    </w:p>
    <w:p w14:paraId="718557B5">
      <w:pPr>
        <w:pStyle w:val="150"/>
        <w:numPr>
          <w:ilvl w:val="0"/>
          <w:numId w:val="4"/>
        </w:numPr>
        <w:overflowPunct/>
        <w:autoSpaceDE/>
        <w:autoSpaceDN/>
        <w:adjustRightInd/>
        <w:spacing w:after="120"/>
        <w:ind w:left="720" w:firstLineChars="0"/>
        <w:textAlignment w:val="auto"/>
        <w:rPr>
          <w:rFonts w:eastAsia="宋体"/>
          <w:b/>
          <w:bCs/>
          <w:color w:val="0070C0"/>
          <w:szCs w:val="24"/>
          <w:lang w:val="en-US" w:eastAsia="zh-CN"/>
        </w:rPr>
      </w:pPr>
      <w:r>
        <w:rPr>
          <w:rFonts w:hint="eastAsia" w:eastAsia="宋体"/>
          <w:b/>
          <w:bCs/>
          <w:color w:val="0070C0"/>
          <w:szCs w:val="24"/>
          <w:lang w:val="en-US" w:eastAsia="zh-CN"/>
        </w:rPr>
        <w:t>Background</w:t>
      </w:r>
    </w:p>
    <w:p w14:paraId="298309DD">
      <w:pPr>
        <w:pStyle w:val="150"/>
        <w:numPr>
          <w:ilvl w:val="1"/>
          <w:numId w:val="4"/>
        </w:numPr>
        <w:overflowPunct/>
        <w:autoSpaceDE/>
        <w:autoSpaceDN/>
        <w:adjustRightInd/>
        <w:spacing w:after="120"/>
        <w:ind w:left="1140" w:firstLineChars="0"/>
        <w:textAlignment w:val="auto"/>
        <w:rPr>
          <w:rFonts w:eastAsia="宋体"/>
          <w:b/>
          <w:bCs/>
          <w:color w:val="0070C0"/>
          <w:szCs w:val="24"/>
          <w:lang w:val="en-US" w:eastAsia="zh-CN"/>
        </w:rPr>
      </w:pPr>
      <w:r>
        <w:rPr>
          <w:rFonts w:hint="eastAsia" w:eastAsia="宋体"/>
          <w:b/>
          <w:bCs/>
          <w:color w:val="0070C0"/>
          <w:szCs w:val="24"/>
          <w:lang w:val="en-US" w:eastAsia="zh-CN"/>
        </w:rPr>
        <w:t>Agreement in RAN4#114:</w:t>
      </w:r>
    </w:p>
    <w:p w14:paraId="6FC9E1B3">
      <w:pPr>
        <w:snapToGrid w:val="0"/>
        <w:spacing w:after="120"/>
        <w:ind w:left="600" w:leftChars="300"/>
        <w:rPr>
          <w:color w:val="0070C0"/>
          <w:szCs w:val="21"/>
        </w:rPr>
      </w:pPr>
      <w:r>
        <w:rPr>
          <w:color w:val="0070C0"/>
          <w:szCs w:val="21"/>
        </w:rPr>
        <w:t xml:space="preserve">Agree on the </w:t>
      </w:r>
      <w:r>
        <w:rPr>
          <w:rFonts w:hint="eastAsia"/>
          <w:color w:val="0070C0"/>
          <w:szCs w:val="21"/>
          <w:lang w:val="en-US" w:eastAsia="zh-CN"/>
        </w:rPr>
        <w:t>following</w:t>
      </w:r>
      <w:r>
        <w:rPr>
          <w:color w:val="0070C0"/>
          <w:szCs w:val="21"/>
        </w:rPr>
        <w:t xml:space="preserve"> Proposal 1 for the intra-frequency measurement and L1-RSRP measurement, and apply the similar principle to other related requirements. </w:t>
      </w:r>
    </w:p>
    <w:p w14:paraId="26169EE0">
      <w:pPr>
        <w:numPr>
          <w:ilvl w:val="0"/>
          <w:numId w:val="4"/>
        </w:numPr>
        <w:tabs>
          <w:tab w:val="left" w:pos="-420"/>
          <w:tab w:val="clear" w:pos="0"/>
        </w:tabs>
        <w:overflowPunct w:val="0"/>
        <w:autoSpaceDE w:val="0"/>
        <w:autoSpaceDN w:val="0"/>
        <w:adjustRightInd w:val="0"/>
        <w:snapToGrid w:val="0"/>
        <w:spacing w:after="120"/>
        <w:ind w:left="1020"/>
        <w:textAlignment w:val="baseline"/>
        <w:rPr>
          <w:color w:val="0070C0"/>
          <w:szCs w:val="21"/>
        </w:rPr>
      </w:pPr>
      <w:r>
        <w:rPr>
          <w:color w:val="0070C0"/>
          <w:szCs w:val="21"/>
        </w:rPr>
        <w:t xml:space="preserve">Proposal 1: </w:t>
      </w:r>
    </w:p>
    <w:p w14:paraId="41D0A96C">
      <w:pPr>
        <w:numPr>
          <w:ilvl w:val="1"/>
          <w:numId w:val="4"/>
        </w:numPr>
        <w:tabs>
          <w:tab w:val="left" w:pos="-420"/>
          <w:tab w:val="clear" w:pos="0"/>
        </w:tabs>
        <w:overflowPunct w:val="0"/>
        <w:autoSpaceDE w:val="0"/>
        <w:autoSpaceDN w:val="0"/>
        <w:adjustRightInd w:val="0"/>
        <w:snapToGrid w:val="0"/>
        <w:spacing w:after="120"/>
        <w:ind w:left="1440"/>
        <w:textAlignment w:val="baseline"/>
        <w:rPr>
          <w:color w:val="0070C0"/>
          <w:szCs w:val="21"/>
        </w:rPr>
      </w:pPr>
      <w:r>
        <w:rPr>
          <w:color w:val="0070C0"/>
          <w:szCs w:val="21"/>
        </w:rPr>
        <w:t>The K</w:t>
      </w:r>
      <w:r>
        <w:rPr>
          <w:color w:val="0070C0"/>
          <w:szCs w:val="21"/>
          <w:vertAlign w:val="subscript"/>
        </w:rPr>
        <w:t>layer1_measurement</w:t>
      </w:r>
      <w:r>
        <w:rPr>
          <w:color w:val="0070C0"/>
          <w:szCs w:val="21"/>
        </w:rPr>
        <w:t xml:space="preserve"> and P</w:t>
      </w:r>
      <w:r>
        <w:rPr>
          <w:color w:val="0070C0"/>
          <w:szCs w:val="21"/>
          <w:vertAlign w:val="subscript"/>
        </w:rPr>
        <w:t>sharing factor</w:t>
      </w:r>
      <w:r>
        <w:rPr>
          <w:color w:val="0070C0"/>
          <w:szCs w:val="21"/>
        </w:rPr>
        <w:t xml:space="preserve"> in CA scenario should be updated as (NOTE: take the intra-frequency measurement and L1-RSRP measurement as an example):</w:t>
      </w:r>
    </w:p>
    <w:p w14:paraId="75DAA2FE">
      <w:pPr>
        <w:snapToGrid w:val="0"/>
        <w:spacing w:after="120"/>
        <w:ind w:left="1500"/>
        <w:rPr>
          <w:color w:val="0070C0"/>
          <w:szCs w:val="21"/>
        </w:rPr>
      </w:pPr>
      <w:r>
        <w:rPr>
          <w:color w:val="0070C0"/>
          <w:szCs w:val="21"/>
        </w:rPr>
        <w:t>For UE with the antenna array,</w:t>
      </w:r>
    </w:p>
    <w:p w14:paraId="502A62B2">
      <w:pPr>
        <w:numPr>
          <w:ilvl w:val="2"/>
          <w:numId w:val="4"/>
        </w:numPr>
        <w:tabs>
          <w:tab w:val="left" w:pos="-420"/>
          <w:tab w:val="clear" w:pos="0"/>
        </w:tabs>
        <w:overflowPunct w:val="0"/>
        <w:autoSpaceDE w:val="0"/>
        <w:autoSpaceDN w:val="0"/>
        <w:adjustRightInd w:val="0"/>
        <w:snapToGrid w:val="0"/>
        <w:spacing w:after="120"/>
        <w:ind w:left="1860"/>
        <w:textAlignment w:val="baseline"/>
        <w:rPr>
          <w:color w:val="0070C0"/>
          <w:szCs w:val="21"/>
        </w:rPr>
      </w:pPr>
      <w:r>
        <w:rPr>
          <w:color w:val="0070C0"/>
          <w:szCs w:val="21"/>
        </w:rPr>
        <w:t>K</w:t>
      </w:r>
      <w:r>
        <w:rPr>
          <w:color w:val="0070C0"/>
          <w:szCs w:val="21"/>
          <w:vertAlign w:val="subscript"/>
        </w:rPr>
        <w:t>layer1_measurement</w:t>
      </w:r>
      <w:r>
        <w:rPr>
          <w:color w:val="0070C0"/>
          <w:szCs w:val="21"/>
        </w:rPr>
        <w:t xml:space="preserve">=1, </w:t>
      </w:r>
    </w:p>
    <w:p w14:paraId="44760636">
      <w:pPr>
        <w:numPr>
          <w:ilvl w:val="3"/>
          <w:numId w:val="4"/>
        </w:numPr>
        <w:tabs>
          <w:tab w:val="left" w:pos="-420"/>
          <w:tab w:val="clear" w:pos="0"/>
        </w:tabs>
        <w:overflowPunct w:val="0"/>
        <w:autoSpaceDE w:val="0"/>
        <w:autoSpaceDN w:val="0"/>
        <w:adjustRightInd w:val="0"/>
        <w:snapToGrid w:val="0"/>
        <w:spacing w:after="120"/>
        <w:ind w:left="2280"/>
        <w:textAlignment w:val="baseline"/>
        <w:rPr>
          <w:color w:val="0070C0"/>
          <w:szCs w:val="21"/>
        </w:rPr>
      </w:pPr>
      <w:r>
        <w:rPr>
          <w:color w:val="0070C0"/>
          <w:szCs w:val="21"/>
        </w:rPr>
        <w:t xml:space="preserve">if all of the reference signals configured for RLM, BFD, CBD or L1-RSRP for beam reporting outside measurement gap are not fully overlapped by intra-frequency SMTC occasions, or </w:t>
      </w:r>
    </w:p>
    <w:p w14:paraId="0DBF96A3">
      <w:pPr>
        <w:numPr>
          <w:ilvl w:val="3"/>
          <w:numId w:val="4"/>
        </w:numPr>
        <w:tabs>
          <w:tab w:val="left" w:pos="-420"/>
          <w:tab w:val="clear" w:pos="0"/>
        </w:tabs>
        <w:overflowPunct w:val="0"/>
        <w:autoSpaceDE w:val="0"/>
        <w:autoSpaceDN w:val="0"/>
        <w:adjustRightInd w:val="0"/>
        <w:snapToGrid w:val="0"/>
        <w:spacing w:after="120"/>
        <w:ind w:left="2280"/>
        <w:textAlignment w:val="baseline"/>
        <w:rPr>
          <w:color w:val="0070C0"/>
          <w:szCs w:val="21"/>
        </w:rPr>
      </w:pPr>
      <w:r>
        <w:rPr>
          <w:color w:val="0070C0"/>
          <w:szCs w:val="21"/>
        </w:rPr>
        <w:t>if all of the reference signals configured for RLM, BFD, CBD or L1-RSRP for beam reporting outside measurement gap are not fully overlapped by intra-frequency SMTC occasions [</w:t>
      </w:r>
      <w:r>
        <w:rPr>
          <w:color w:val="0070C0"/>
          <w:szCs w:val="21"/>
          <w:u w:val="single"/>
        </w:rPr>
        <w:t>configured] by same serving cell when inter-band carrier aggregation within FR1 is configured [and UE doesn’t support capability of case 4]</w:t>
      </w:r>
      <w:r>
        <w:rPr>
          <w:color w:val="0070C0"/>
          <w:szCs w:val="21"/>
        </w:rPr>
        <w:t xml:space="preserve"> or</w:t>
      </w:r>
    </w:p>
    <w:p w14:paraId="6C1BDFB3">
      <w:pPr>
        <w:numPr>
          <w:ilvl w:val="3"/>
          <w:numId w:val="4"/>
        </w:numPr>
        <w:tabs>
          <w:tab w:val="left" w:pos="-420"/>
          <w:tab w:val="clear" w:pos="0"/>
        </w:tabs>
        <w:overflowPunct w:val="0"/>
        <w:autoSpaceDE w:val="0"/>
        <w:autoSpaceDN w:val="0"/>
        <w:adjustRightInd w:val="0"/>
        <w:snapToGrid w:val="0"/>
        <w:spacing w:after="120"/>
        <w:ind w:left="2280"/>
        <w:textAlignment w:val="baseline"/>
        <w:rPr>
          <w:color w:val="0070C0"/>
          <w:szCs w:val="21"/>
        </w:rPr>
      </w:pPr>
      <w:r>
        <w:rPr>
          <w:color w:val="0070C0"/>
          <w:szCs w:val="21"/>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 or</w:t>
      </w:r>
    </w:p>
    <w:p w14:paraId="1679D7EB">
      <w:pPr>
        <w:numPr>
          <w:ilvl w:val="3"/>
          <w:numId w:val="4"/>
        </w:numPr>
        <w:tabs>
          <w:tab w:val="left" w:pos="-420"/>
          <w:tab w:val="clear" w:pos="0"/>
        </w:tabs>
        <w:overflowPunct w:val="0"/>
        <w:autoSpaceDE w:val="0"/>
        <w:autoSpaceDN w:val="0"/>
        <w:adjustRightInd w:val="0"/>
        <w:snapToGrid w:val="0"/>
        <w:spacing w:after="120"/>
        <w:ind w:left="2280"/>
        <w:textAlignment w:val="baseline"/>
        <w:rPr>
          <w:color w:val="0070C0"/>
          <w:szCs w:val="21"/>
        </w:rPr>
      </w:pPr>
      <w:r>
        <w:rPr>
          <w:color w:val="0070C0"/>
          <w:szCs w:val="21"/>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t>
      </w:r>
      <w:r>
        <w:rPr>
          <w:color w:val="0070C0"/>
          <w:szCs w:val="21"/>
          <w:u w:val="single"/>
        </w:rPr>
        <w:t>configured] by same serving cell when inter-band carrier aggregation within FR1 is configured [and UE doesn’t support capability of case 4]</w:t>
      </w:r>
      <w:r>
        <w:rPr>
          <w:color w:val="0070C0"/>
          <w:szCs w:val="21"/>
        </w:rPr>
        <w:t>,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3E39F9D1">
      <w:pPr>
        <w:numPr>
          <w:ilvl w:val="2"/>
          <w:numId w:val="4"/>
        </w:numPr>
        <w:tabs>
          <w:tab w:val="left" w:pos="-420"/>
          <w:tab w:val="clear" w:pos="0"/>
        </w:tabs>
        <w:overflowPunct w:val="0"/>
        <w:autoSpaceDE w:val="0"/>
        <w:autoSpaceDN w:val="0"/>
        <w:adjustRightInd w:val="0"/>
        <w:snapToGrid w:val="0"/>
        <w:spacing w:after="120"/>
        <w:ind w:left="1860"/>
        <w:textAlignment w:val="baseline"/>
        <w:rPr>
          <w:color w:val="0070C0"/>
          <w:szCs w:val="21"/>
        </w:rPr>
      </w:pPr>
      <w:r>
        <w:rPr>
          <w:color w:val="0070C0"/>
          <w:szCs w:val="21"/>
        </w:rPr>
        <w:t>K</w:t>
      </w:r>
      <w:r>
        <w:rPr>
          <w:color w:val="0070C0"/>
          <w:szCs w:val="21"/>
          <w:vertAlign w:val="subscript"/>
        </w:rPr>
        <w:t>layer1_measurement</w:t>
      </w:r>
      <w:r>
        <w:rPr>
          <w:color w:val="0070C0"/>
          <w:szCs w:val="21"/>
        </w:rPr>
        <w:t>=1.5, otherwise.</w:t>
      </w:r>
    </w:p>
    <w:p w14:paraId="14E10D40">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1E30356F">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1: (LGE)</w:t>
      </w:r>
    </w:p>
    <w:p w14:paraId="3862F37D">
      <w:pPr>
        <w:pStyle w:val="150"/>
        <w:numPr>
          <w:ilvl w:val="2"/>
          <w:numId w:val="4"/>
        </w:numPr>
        <w:overflowPunct/>
        <w:autoSpaceDE/>
        <w:autoSpaceDN/>
        <w:adjustRightInd/>
        <w:spacing w:after="120"/>
        <w:ind w:left="1860" w:firstLineChars="0"/>
        <w:textAlignment w:val="auto"/>
        <w:rPr>
          <w:rFonts w:eastAsiaTheme="minorEastAsia"/>
          <w:bCs/>
          <w:color w:val="0070C0"/>
          <w:lang w:eastAsia="ko-KR" w:bidi="ar"/>
        </w:rPr>
      </w:pPr>
      <w:r>
        <w:rPr>
          <w:rFonts w:hint="eastAsia"/>
          <w:color w:val="0070C0"/>
          <w:lang w:eastAsia="ko-KR"/>
        </w:rPr>
        <w:t xml:space="preserve">Consider impact on </w:t>
      </w:r>
      <w:r>
        <w:rPr>
          <w:color w:val="0070C0"/>
        </w:rPr>
        <w:t>K</w:t>
      </w:r>
      <w:r>
        <w:rPr>
          <w:color w:val="0070C0"/>
          <w:vertAlign w:val="subscript"/>
        </w:rPr>
        <w:t>layer1_measurement</w:t>
      </w:r>
      <w:r>
        <w:rPr>
          <w:rFonts w:hint="eastAsia"/>
          <w:color w:val="0070C0"/>
          <w:lang w:eastAsia="ko-KR"/>
        </w:rPr>
        <w:t xml:space="preserve"> due to 33usec MRTD for Case 4 antenna type, e.g., </w:t>
      </w:r>
    </w:p>
    <w:p w14:paraId="71217D09">
      <w:pPr>
        <w:pStyle w:val="150"/>
        <w:numPr>
          <w:ilvl w:val="3"/>
          <w:numId w:val="4"/>
        </w:numPr>
        <w:overflowPunct/>
        <w:autoSpaceDE/>
        <w:autoSpaceDN/>
        <w:adjustRightInd/>
        <w:spacing w:after="120"/>
        <w:ind w:left="2280" w:firstLineChars="0"/>
        <w:textAlignment w:val="auto"/>
        <w:rPr>
          <w:rFonts w:eastAsiaTheme="minorEastAsia"/>
          <w:bCs/>
          <w:color w:val="0070C0"/>
          <w:lang w:eastAsia="ko-KR" w:bidi="ar"/>
        </w:rPr>
      </w:pPr>
      <w:r>
        <w:rPr>
          <w:color w:val="0070C0"/>
        </w:rPr>
        <w:t xml:space="preserve">if all of the reference signal configured for RLM, BFD, CBD or L1-RSRP for beam reporting outside measurement gap and fully-overlapped by intra-frequency SMTC occasions are not overlapped with any of the SSB symbols and the RSSI symbols, and </w:t>
      </w:r>
      <w:r>
        <w:rPr>
          <w:rFonts w:hint="eastAsia"/>
          <w:color w:val="0070C0"/>
          <w:highlight w:val="yellow"/>
          <w:lang w:eastAsia="ko-KR"/>
        </w:rPr>
        <w:t>2</w:t>
      </w:r>
      <w:r>
        <w:rPr>
          <w:color w:val="0070C0"/>
          <w:highlight w:val="yellow"/>
        </w:rPr>
        <w:t xml:space="preserve"> symbol</w:t>
      </w:r>
      <w:r>
        <w:rPr>
          <w:color w:val="0070C0"/>
        </w:rPr>
        <w:t xml:space="preserve"> before each consecutive SSB symbols and the RSSI symbols, and </w:t>
      </w:r>
      <w:r>
        <w:rPr>
          <w:rFonts w:hint="eastAsia"/>
          <w:color w:val="0070C0"/>
          <w:highlight w:val="yellow"/>
          <w:lang w:eastAsia="ko-KR"/>
        </w:rPr>
        <w:t>2</w:t>
      </w:r>
      <w:r>
        <w:rPr>
          <w:color w:val="0070C0"/>
          <w:highlight w:val="yellow"/>
        </w:rPr>
        <w:t xml:space="preserve"> symbol</w:t>
      </w:r>
      <w:r>
        <w:rPr>
          <w:color w:val="0070C0"/>
        </w:rPr>
        <w:t xml:space="preserve"> after each consecutive SSB symbols and the RSSI symbols </w:t>
      </w:r>
      <w:r>
        <w:rPr>
          <w:rFonts w:hint="eastAsia"/>
          <w:color w:val="0070C0"/>
          <w:highlight w:val="yellow"/>
          <w:lang w:eastAsia="ko-KR"/>
        </w:rPr>
        <w:t>of</w:t>
      </w:r>
      <w:r>
        <w:rPr>
          <w:color w:val="0070C0"/>
          <w:highlight w:val="yellow"/>
        </w:rPr>
        <w:t xml:space="preserve"> serving cell</w:t>
      </w:r>
      <w:r>
        <w:rPr>
          <w:rFonts w:hint="eastAsia"/>
          <w:color w:val="0070C0"/>
          <w:highlight w:val="yellow"/>
          <w:lang w:eastAsia="ko-KR"/>
        </w:rPr>
        <w:t>s</w:t>
      </w:r>
      <w:r>
        <w:rPr>
          <w:color w:val="0070C0"/>
          <w:highlight w:val="yellow"/>
        </w:rPr>
        <w:t xml:space="preserve"> when inter-band carrier aggregation within FR1 is configured and UE support</w:t>
      </w:r>
      <w:r>
        <w:rPr>
          <w:rFonts w:hint="eastAsia"/>
          <w:color w:val="0070C0"/>
          <w:highlight w:val="yellow"/>
          <w:lang w:eastAsia="ko-KR"/>
        </w:rPr>
        <w:t>s</w:t>
      </w:r>
      <w:r>
        <w:rPr>
          <w:color w:val="0070C0"/>
          <w:highlight w:val="yellow"/>
        </w:rPr>
        <w:t xml:space="preserve"> </w:t>
      </w:r>
      <w:r>
        <w:rPr>
          <w:rFonts w:hint="eastAsia"/>
          <w:color w:val="0070C0"/>
          <w:highlight w:val="yellow"/>
          <w:lang w:eastAsia="ko-KR"/>
        </w:rPr>
        <w:t>[</w:t>
      </w:r>
      <w:r>
        <w:rPr>
          <w:color w:val="0070C0"/>
          <w:highlight w:val="yellow"/>
        </w:rPr>
        <w:t>capability of case 4]</w:t>
      </w:r>
      <w:r>
        <w:rPr>
          <w:color w:val="0070C0"/>
        </w:rPr>
        <w:t>,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05A8B363">
      <w:pPr>
        <w:pStyle w:val="150"/>
        <w:numPr>
          <w:ilvl w:val="1"/>
          <w:numId w:val="4"/>
        </w:numPr>
        <w:overflowPunct/>
        <w:autoSpaceDE/>
        <w:autoSpaceDN/>
        <w:adjustRightInd/>
        <w:spacing w:after="120"/>
        <w:ind w:left="1440" w:firstLineChars="0"/>
        <w:textAlignment w:val="auto"/>
        <w:rPr>
          <w:rFonts w:eastAsiaTheme="minorEastAsia"/>
          <w:bCs/>
          <w:color w:val="0070C0"/>
          <w:lang w:eastAsia="ko-KR" w:bidi="ar"/>
        </w:rPr>
      </w:pPr>
      <w:r>
        <w:rPr>
          <w:rFonts w:hint="eastAsia" w:eastAsiaTheme="minorEastAsia"/>
          <w:color w:val="0070C0"/>
          <w:sz w:val="21"/>
          <w:szCs w:val="22"/>
          <w:lang w:val="en-US" w:eastAsia="zh-CN"/>
        </w:rPr>
        <w:t xml:space="preserve">Proposal 2: (ZTE)        </w:t>
      </w:r>
    </w:p>
    <w:p w14:paraId="6CA2B223">
      <w:pPr>
        <w:pStyle w:val="150"/>
        <w:numPr>
          <w:ilvl w:val="2"/>
          <w:numId w:val="4"/>
        </w:numPr>
        <w:overflowPunct/>
        <w:autoSpaceDE/>
        <w:autoSpaceDN/>
        <w:adjustRightInd/>
        <w:spacing w:after="120"/>
        <w:ind w:left="1860" w:firstLineChars="0"/>
        <w:textAlignment w:val="auto"/>
        <w:rPr>
          <w:color w:val="0070C0"/>
          <w:lang w:val="en-US" w:eastAsia="zh-CN"/>
        </w:rPr>
      </w:pPr>
      <w:r>
        <w:rPr>
          <w:rFonts w:hint="eastAsia"/>
          <w:color w:val="0070C0"/>
          <w:lang w:val="en-US" w:eastAsia="zh-CN"/>
        </w:rPr>
        <w:t>No need to distinguish whether the L1 measurement is targeted at PCell or SCell since UE applies a same Rx beam to cover both of them.</w:t>
      </w:r>
    </w:p>
    <w:p w14:paraId="0B76D659">
      <w:pPr>
        <w:pStyle w:val="150"/>
        <w:numPr>
          <w:ilvl w:val="2"/>
          <w:numId w:val="4"/>
        </w:numPr>
        <w:overflowPunct/>
        <w:autoSpaceDE/>
        <w:autoSpaceDN/>
        <w:adjustRightInd/>
        <w:spacing w:after="120"/>
        <w:ind w:left="1860" w:firstLineChars="0"/>
        <w:textAlignment w:val="auto"/>
        <w:rPr>
          <w:color w:val="0070C0"/>
          <w:lang w:val="en-US" w:eastAsia="zh-CN"/>
        </w:rPr>
      </w:pPr>
      <w:r>
        <w:rPr>
          <w:rFonts w:hint="eastAsia"/>
          <w:color w:val="0070C0"/>
          <w:lang w:val="en-US" w:eastAsia="zh-CN"/>
        </w:rPr>
        <w:t>The L1/L3 measurement sharing factor could be summarized as two cases:</w:t>
      </w:r>
    </w:p>
    <w:p w14:paraId="78113CE0">
      <w:pPr>
        <w:pStyle w:val="150"/>
        <w:numPr>
          <w:ilvl w:val="3"/>
          <w:numId w:val="4"/>
        </w:numPr>
        <w:overflowPunct/>
        <w:autoSpaceDE/>
        <w:autoSpaceDN/>
        <w:adjustRightInd/>
        <w:spacing w:after="120"/>
        <w:ind w:left="2280" w:firstLineChars="0"/>
        <w:textAlignment w:val="auto"/>
        <w:rPr>
          <w:color w:val="0070C0"/>
          <w:lang w:val="en-US" w:eastAsia="zh-CN"/>
        </w:rPr>
      </w:pPr>
      <w:r>
        <w:rPr>
          <w:rFonts w:hint="eastAsia"/>
          <w:color w:val="0070C0"/>
          <w:lang w:val="en-US" w:eastAsia="zh-CN"/>
        </w:rPr>
        <w:t>For the intra-band CA with antenna array assumed and inter-band CA with Case 4 assumed,</w:t>
      </w:r>
    </w:p>
    <w:p w14:paraId="08B86E0F">
      <w:pPr>
        <w:pStyle w:val="150"/>
        <w:numPr>
          <w:ilvl w:val="4"/>
          <w:numId w:val="4"/>
        </w:numPr>
        <w:overflowPunct/>
        <w:autoSpaceDE/>
        <w:autoSpaceDN/>
        <w:adjustRightInd/>
        <w:spacing w:after="120"/>
        <w:ind w:left="2700" w:firstLineChars="0"/>
        <w:textAlignment w:val="auto"/>
        <w:rPr>
          <w:color w:val="0070C0"/>
          <w:lang w:val="en-US" w:eastAsia="zh-CN"/>
        </w:rPr>
      </w:pPr>
      <w:r>
        <w:rPr>
          <w:rFonts w:hint="eastAsia"/>
          <w:color w:val="0070C0"/>
          <w:lang w:val="en-US" w:eastAsia="zh-CN"/>
        </w:rPr>
        <w:t>K</w:t>
      </w:r>
      <w:r>
        <w:rPr>
          <w:rFonts w:hint="eastAsia"/>
          <w:color w:val="0070C0"/>
          <w:sz w:val="13"/>
          <w:szCs w:val="13"/>
          <w:lang w:val="en-US" w:eastAsia="zh-CN"/>
        </w:rPr>
        <w:t xml:space="preserve">layer1_measurement </w:t>
      </w:r>
      <w:r>
        <w:rPr>
          <w:rFonts w:hint="eastAsia"/>
          <w:color w:val="0070C0"/>
          <w:lang w:val="en-US" w:eastAsia="zh-CN"/>
        </w:rPr>
        <w:t xml:space="preserve">= </w:t>
      </w:r>
      <w:r>
        <w:rPr>
          <w:color w:val="0070C0"/>
          <w:lang w:val="en-US" w:eastAsia="zh-CN"/>
        </w:rPr>
        <w:t>1 for the not fully overlapping case and fully overlapping with SMTC occasion but not overlapped with RRM RS symbols and 1 symbol before and after;</w:t>
      </w:r>
    </w:p>
    <w:p w14:paraId="111A08CC">
      <w:pPr>
        <w:pStyle w:val="150"/>
        <w:numPr>
          <w:ilvl w:val="4"/>
          <w:numId w:val="4"/>
        </w:numPr>
        <w:overflowPunct/>
        <w:autoSpaceDE/>
        <w:autoSpaceDN/>
        <w:adjustRightInd/>
        <w:spacing w:after="120"/>
        <w:ind w:left="2700" w:firstLineChars="0"/>
        <w:textAlignment w:val="auto"/>
        <w:rPr>
          <w:color w:val="0070C0"/>
          <w:lang w:val="en-US" w:eastAsia="zh-CN"/>
        </w:rPr>
      </w:pPr>
      <w:r>
        <w:rPr>
          <w:rFonts w:hint="eastAsia"/>
          <w:color w:val="0070C0"/>
          <w:lang w:val="en-US" w:eastAsia="zh-CN"/>
        </w:rPr>
        <w:t>K</w:t>
      </w:r>
      <w:r>
        <w:rPr>
          <w:rFonts w:hint="eastAsia"/>
          <w:color w:val="0070C0"/>
          <w:sz w:val="13"/>
          <w:szCs w:val="13"/>
          <w:lang w:val="en-US" w:eastAsia="zh-CN"/>
        </w:rPr>
        <w:t xml:space="preserve">layer1_measurement </w:t>
      </w:r>
      <w:r>
        <w:rPr>
          <w:rFonts w:hint="eastAsia"/>
          <w:color w:val="0070C0"/>
          <w:lang w:val="en-US" w:eastAsia="zh-CN"/>
        </w:rPr>
        <w:t xml:space="preserve">= </w:t>
      </w:r>
      <w:r>
        <w:rPr>
          <w:color w:val="0070C0"/>
          <w:lang w:val="en-US" w:eastAsia="zh-CN"/>
        </w:rPr>
        <w:t>1.5 for otherwise.</w:t>
      </w:r>
    </w:p>
    <w:p w14:paraId="0B0377CA">
      <w:pPr>
        <w:pStyle w:val="150"/>
        <w:numPr>
          <w:ilvl w:val="3"/>
          <w:numId w:val="4"/>
        </w:numPr>
        <w:overflowPunct/>
        <w:autoSpaceDE/>
        <w:autoSpaceDN/>
        <w:adjustRightInd/>
        <w:spacing w:after="120"/>
        <w:ind w:left="2280" w:firstLineChars="0"/>
        <w:textAlignment w:val="auto"/>
        <w:rPr>
          <w:color w:val="0070C0"/>
          <w:lang w:val="en-US" w:eastAsia="zh-CN"/>
        </w:rPr>
      </w:pPr>
      <w:r>
        <w:rPr>
          <w:rFonts w:hint="eastAsia"/>
          <w:color w:val="0070C0"/>
          <w:lang w:val="en-US" w:eastAsia="zh-CN"/>
        </w:rPr>
        <w:t>For other cases,</w:t>
      </w:r>
    </w:p>
    <w:p w14:paraId="319DBC7B">
      <w:pPr>
        <w:pStyle w:val="150"/>
        <w:numPr>
          <w:ilvl w:val="4"/>
          <w:numId w:val="4"/>
        </w:numPr>
        <w:overflowPunct/>
        <w:autoSpaceDE/>
        <w:autoSpaceDN/>
        <w:adjustRightInd/>
        <w:spacing w:after="120"/>
        <w:ind w:left="2700" w:firstLineChars="0"/>
        <w:textAlignment w:val="auto"/>
        <w:rPr>
          <w:rFonts w:eastAsia="宋体"/>
          <w:color w:val="0070C0"/>
          <w:sz w:val="21"/>
          <w:szCs w:val="22"/>
          <w:lang w:val="en-US" w:eastAsia="zh-CN"/>
        </w:rPr>
      </w:pPr>
      <w:r>
        <w:rPr>
          <w:rFonts w:hint="eastAsia"/>
          <w:color w:val="0070C0"/>
          <w:lang w:val="en-US" w:eastAsia="zh-CN"/>
        </w:rPr>
        <w:t>K</w:t>
      </w:r>
      <w:r>
        <w:rPr>
          <w:rFonts w:hint="eastAsia"/>
          <w:color w:val="0070C0"/>
          <w:sz w:val="13"/>
          <w:szCs w:val="13"/>
          <w:lang w:val="en-US" w:eastAsia="zh-CN"/>
        </w:rPr>
        <w:t xml:space="preserve">layer1_measurement </w:t>
      </w:r>
      <w:r>
        <w:rPr>
          <w:rFonts w:hint="eastAsia"/>
          <w:color w:val="0070C0"/>
          <w:lang w:val="en-US" w:eastAsia="zh-CN"/>
        </w:rPr>
        <w:t>= 1 since UE could perform RRM and L1 measurement simultaneously.</w:t>
      </w:r>
    </w:p>
    <w:p w14:paraId="2444F5F3">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5C73DCBD">
      <w:pPr>
        <w:pStyle w:val="150"/>
        <w:numPr>
          <w:ilvl w:val="1"/>
          <w:numId w:val="4"/>
        </w:numPr>
        <w:overflowPunct/>
        <w:autoSpaceDE/>
        <w:autoSpaceDN/>
        <w:adjustRightInd/>
        <w:spacing w:after="120"/>
        <w:ind w:left="1440" w:firstLineChars="0"/>
        <w:textAlignment w:val="auto"/>
        <w:rPr>
          <w:b/>
          <w:color w:val="0070C0"/>
          <w:u w:val="single"/>
          <w:lang w:val="en-US" w:eastAsia="zh-CN"/>
        </w:rPr>
      </w:pPr>
      <w:r>
        <w:rPr>
          <w:rFonts w:hint="eastAsia"/>
          <w:color w:val="0070C0"/>
          <w:lang w:val="en-US" w:eastAsia="zh-CN"/>
        </w:rPr>
        <w:t>To be discussed</w:t>
      </w:r>
    </w:p>
    <w:p w14:paraId="6A143C8B">
      <w:pPr>
        <w:rPr>
          <w:rFonts w:hint="eastAsia"/>
          <w:b/>
          <w:color w:val="0070C0"/>
          <w:u w:val="single"/>
          <w:lang w:val="en-US" w:eastAsia="zh-CN"/>
        </w:rPr>
      </w:pPr>
    </w:p>
    <w:p w14:paraId="6C1F2DB8">
      <w:pPr>
        <w:rPr>
          <w:b/>
          <w:color w:val="0070C0"/>
          <w:u w:val="single"/>
          <w:lang w:val="en-US" w:eastAsia="zh-CN"/>
        </w:rPr>
      </w:pPr>
      <w:r>
        <w:rPr>
          <w:rFonts w:hint="eastAsia"/>
          <w:b/>
          <w:color w:val="0070C0"/>
          <w:u w:val="single"/>
          <w:lang w:val="en-US" w:eastAsia="zh-CN"/>
        </w:rPr>
        <w:t>Issue 1-1-1: Side condition for Case#4 UE</w:t>
      </w:r>
    </w:p>
    <w:p w14:paraId="77077373">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5D7AF862">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w:t>
      </w:r>
      <w:r>
        <w:rPr>
          <w:rFonts w:eastAsia="宋体"/>
          <w:color w:val="0070C0"/>
          <w:szCs w:val="24"/>
          <w:lang w:val="en-US" w:eastAsia="zh-CN"/>
        </w:rPr>
        <w:t>1</w:t>
      </w:r>
      <w:r>
        <w:rPr>
          <w:rFonts w:hint="eastAsia" w:eastAsia="宋体"/>
          <w:color w:val="0070C0"/>
          <w:szCs w:val="24"/>
          <w:lang w:val="en-US" w:eastAsia="zh-CN"/>
        </w:rPr>
        <w:t>: (Ericsson)</w:t>
      </w:r>
    </w:p>
    <w:p w14:paraId="66F46790">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If, the frequency ranges of int</w:t>
      </w:r>
      <w:r>
        <w:rPr>
          <w:rFonts w:eastAsia="宋体"/>
          <w:color w:val="0070C0"/>
          <w:szCs w:val="24"/>
          <w:lang w:val="en-US" w:eastAsia="zh-CN"/>
        </w:rPr>
        <w:t>er</w:t>
      </w:r>
      <w:r>
        <w:rPr>
          <w:rFonts w:hint="eastAsia" w:eastAsia="宋体"/>
          <w:color w:val="0070C0"/>
          <w:szCs w:val="24"/>
          <w:lang w:val="en-US" w:eastAsia="zh-CN"/>
        </w:rPr>
        <w:t xml:space="preserve">-band co-located DL CA bands are less than or equivalent to X MHz, then the ATG UE may support CBM with an antenna array on the PCC and SCC in FR1. </w:t>
      </w:r>
    </w:p>
    <w:p w14:paraId="3D89A150">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Otherwise, ATG UE with an antenna array on the bands of PCC and SCC will adhere to IBM in FR1.</w:t>
      </w:r>
    </w:p>
    <w:p w14:paraId="40E22883">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eastAsia="宋体"/>
          <w:color w:val="0070C0"/>
          <w:szCs w:val="24"/>
          <w:lang w:val="en-US" w:eastAsia="zh-CN"/>
        </w:rPr>
        <w:t>DL frequency separation (i.e., X MHz) between the two bands for FR1 CBM should be</w:t>
      </w:r>
    </w:p>
    <w:p w14:paraId="0BAE7227">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Option 1: ≤50 MHz.</w:t>
      </w:r>
    </w:p>
    <w:p w14:paraId="41158830">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Option 2: ≤100 MHz.</w:t>
      </w:r>
    </w:p>
    <w:p w14:paraId="55C6CFC9">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Option 3: Between 50-100MHz, FFS.</w:t>
      </w:r>
    </w:p>
    <w:p w14:paraId="263C4D47">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26D0C69A">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This should be discussed in RF session.</w:t>
      </w:r>
    </w:p>
    <w:p w14:paraId="164482D4">
      <w:pPr>
        <w:rPr>
          <w:b/>
          <w:color w:val="0070C0"/>
          <w:u w:val="single"/>
          <w:lang w:val="en-US" w:eastAsia="zh-CN"/>
        </w:rPr>
      </w:pPr>
    </w:p>
    <w:p w14:paraId="256CA446">
      <w:pPr>
        <w:rPr>
          <w:b/>
          <w:color w:val="0070C0"/>
          <w:u w:val="single"/>
          <w:lang w:val="en-US" w:eastAsia="zh-CN"/>
        </w:rPr>
      </w:pPr>
      <w:r>
        <w:rPr>
          <w:rFonts w:hint="eastAsia"/>
          <w:b/>
          <w:color w:val="0070C0"/>
          <w:u w:val="single"/>
          <w:lang w:val="en-US" w:eastAsia="zh-CN"/>
        </w:rPr>
        <w:t>Issue 1-1-2-6: Others</w:t>
      </w:r>
    </w:p>
    <w:p w14:paraId="734218E8">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3A7FCE49">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1: This new capability only affects the following RRM requirements: (HW)</w:t>
      </w:r>
    </w:p>
    <w:p w14:paraId="0DD51A12">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1.</w:t>
      </w:r>
      <w:r>
        <w:rPr>
          <w:rFonts w:hint="eastAsia" w:eastAsia="宋体"/>
          <w:color w:val="0070C0"/>
          <w:szCs w:val="24"/>
          <w:lang w:val="en-US" w:eastAsia="zh-CN"/>
        </w:rPr>
        <w:tab/>
      </w:r>
      <w:r>
        <w:rPr>
          <w:rFonts w:hint="eastAsia" w:eastAsia="宋体"/>
          <w:color w:val="0070C0"/>
          <w:szCs w:val="24"/>
          <w:lang w:val="en-US" w:eastAsia="zh-CN"/>
        </w:rPr>
        <w:t>SCell deactivated measurement with L1/L3 measurement factor.</w:t>
      </w:r>
    </w:p>
    <w:p w14:paraId="2BFA53A5">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2.</w:t>
      </w:r>
      <w:r>
        <w:rPr>
          <w:rFonts w:hint="eastAsia" w:eastAsia="宋体"/>
          <w:color w:val="0070C0"/>
          <w:szCs w:val="24"/>
          <w:lang w:val="en-US" w:eastAsia="zh-CN"/>
        </w:rPr>
        <w:tab/>
      </w:r>
      <w:r>
        <w:rPr>
          <w:rFonts w:hint="eastAsia" w:eastAsia="宋体"/>
          <w:color w:val="0070C0"/>
          <w:szCs w:val="24"/>
          <w:lang w:val="en-US" w:eastAsia="zh-CN"/>
        </w:rPr>
        <w:t>Scheduling Availability/Restrictions.</w:t>
      </w:r>
    </w:p>
    <w:p w14:paraId="0247ACF0">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3.</w:t>
      </w:r>
      <w:r>
        <w:rPr>
          <w:rFonts w:hint="eastAsia" w:eastAsia="宋体"/>
          <w:color w:val="0070C0"/>
          <w:szCs w:val="24"/>
          <w:lang w:val="en-US" w:eastAsia="zh-CN"/>
        </w:rPr>
        <w:tab/>
      </w:r>
      <w:r>
        <w:rPr>
          <w:rFonts w:hint="eastAsia" w:eastAsia="宋体"/>
          <w:color w:val="0070C0"/>
          <w:szCs w:val="24"/>
          <w:lang w:val="en-US" w:eastAsia="zh-CN"/>
        </w:rPr>
        <w:t>SCell measurement enhancement.</w:t>
      </w:r>
    </w:p>
    <w:p w14:paraId="63E4C5BC">
      <w:pPr>
        <w:pStyle w:val="150"/>
        <w:numPr>
          <w:ilvl w:val="2"/>
          <w:numId w:val="4"/>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4.</w:t>
      </w:r>
      <w:r>
        <w:rPr>
          <w:rFonts w:hint="eastAsia" w:eastAsia="宋体"/>
          <w:color w:val="0070C0"/>
          <w:szCs w:val="24"/>
          <w:lang w:val="en-US" w:eastAsia="zh-CN"/>
        </w:rPr>
        <w:tab/>
      </w:r>
      <w:r>
        <w:rPr>
          <w:rFonts w:hint="eastAsia" w:eastAsia="宋体"/>
          <w:color w:val="0070C0"/>
          <w:szCs w:val="24"/>
          <w:lang w:val="en-US" w:eastAsia="zh-CN"/>
        </w:rPr>
        <w:t>FFS</w:t>
      </w:r>
    </w:p>
    <w:p w14:paraId="67CCC724">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2: RAN4 should send an LS to RAN2</w:t>
      </w:r>
    </w:p>
    <w:p w14:paraId="354301B6">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6950BF2A">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 1 will be discussed separately in each requirements and directly reflected in the spec. No further discussion on Proposal 1</w:t>
      </w:r>
    </w:p>
    <w:p w14:paraId="27C22A85">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If all contents of UE capability are agreed in this meeting, then discuss whether to send a LS to RAN2 in this meeting, or next meeting together with other RAN2 impact if exists.</w:t>
      </w:r>
    </w:p>
    <w:p w14:paraId="0B258424">
      <w:pPr>
        <w:rPr>
          <w:lang w:val="en-US" w:eastAsia="zh-CN"/>
        </w:rPr>
      </w:pPr>
    </w:p>
    <w:p w14:paraId="3E4D6A84">
      <w:pPr>
        <w:rPr>
          <w:b/>
          <w:color w:val="0070C0"/>
          <w:u w:val="single"/>
          <w:lang w:val="en-US" w:eastAsia="zh-CN"/>
        </w:rPr>
      </w:pPr>
      <w:r>
        <w:rPr>
          <w:rFonts w:hint="eastAsia"/>
          <w:b/>
          <w:color w:val="0070C0"/>
          <w:u w:val="single"/>
          <w:lang w:val="en-US" w:eastAsia="zh-CN"/>
        </w:rPr>
        <w:t>Issue 1-1-4: UE antenna type signalling</w:t>
      </w:r>
    </w:p>
    <w:p w14:paraId="34B571C0">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4C9532FA">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1: UE capability of [antennaArrayType-r19] to distinguish whether UE capable of antenna array in intra/inter-band CA ( ZTE)</w:t>
      </w:r>
    </w:p>
    <w:p w14:paraId="65A727BD">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6D72B96F">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Based on RF discussion, no separate UE capability will be introduced for UE antenna type in CA case, instead, UE will report its antenna type per band, and network can know the UE antenna type per BC.</w:t>
      </w:r>
    </w:p>
    <w:p w14:paraId="6FC6656B">
      <w:pPr>
        <w:pStyle w:val="150"/>
        <w:numPr>
          <w:ilvl w:val="1"/>
          <w:numId w:val="4"/>
        </w:numPr>
        <w:overflowPunct/>
        <w:autoSpaceDE/>
        <w:autoSpaceDN/>
        <w:adjustRightInd/>
        <w:spacing w:after="120"/>
        <w:ind w:left="1440" w:firstLineChars="0"/>
        <w:textAlignment w:val="auto"/>
        <w:rPr>
          <w:color w:val="0070C0"/>
          <w:lang w:val="en-US" w:eastAsia="zh-CN"/>
        </w:rPr>
      </w:pPr>
      <w:r>
        <w:rPr>
          <w:rFonts w:hint="eastAsia" w:eastAsia="宋体"/>
          <w:color w:val="0070C0"/>
          <w:szCs w:val="24"/>
          <w:lang w:val="en-US" w:eastAsia="zh-CN"/>
        </w:rPr>
        <w:t>For example, UE report antenna array for n3 and omni-directional antenna for n39, then for n3 and n39 inter-band CA, UE antenna type will be antenna array n3 + omni-directional antenna n39.</w:t>
      </w:r>
      <w:bookmarkStart w:id="1" w:name="OLE_LINK13"/>
    </w:p>
    <w:p w14:paraId="1C953251">
      <w:pPr>
        <w:pStyle w:val="150"/>
        <w:overflowPunct/>
        <w:autoSpaceDE/>
        <w:autoSpaceDN/>
        <w:adjustRightInd/>
        <w:spacing w:after="120"/>
        <w:ind w:firstLine="0" w:firstLineChars="0"/>
        <w:textAlignment w:val="auto"/>
        <w:rPr>
          <w:color w:val="0070C0"/>
          <w:lang w:val="en-US" w:eastAsia="zh-CN"/>
        </w:rPr>
      </w:pPr>
    </w:p>
    <w:p w14:paraId="31119BD3">
      <w:pPr>
        <w:rPr>
          <w:b/>
          <w:color w:val="0070C0"/>
          <w:u w:val="single"/>
          <w:lang w:val="en-US" w:eastAsia="zh-CN"/>
        </w:rPr>
      </w:pPr>
    </w:p>
    <w:bookmarkEnd w:id="1"/>
    <w:p w14:paraId="69252620">
      <w:pPr>
        <w:pStyle w:val="150"/>
        <w:overflowPunct/>
        <w:autoSpaceDE/>
        <w:autoSpaceDN/>
        <w:adjustRightInd/>
        <w:spacing w:after="120"/>
        <w:ind w:firstLine="0" w:firstLineChars="0"/>
        <w:textAlignment w:val="auto"/>
        <w:rPr>
          <w:rFonts w:eastAsia="宋体"/>
          <w:color w:val="0070C0"/>
          <w:szCs w:val="24"/>
          <w:lang w:val="en-US" w:eastAsia="zh-CN"/>
        </w:rPr>
      </w:pPr>
    </w:p>
    <w:p w14:paraId="712EB0E2">
      <w:pPr>
        <w:pStyle w:val="150"/>
        <w:overflowPunct/>
        <w:autoSpaceDE/>
        <w:autoSpaceDN/>
        <w:adjustRightInd/>
        <w:spacing w:after="120"/>
        <w:ind w:firstLine="0" w:firstLineChars="0"/>
        <w:textAlignment w:val="auto"/>
        <w:rPr>
          <w:rFonts w:eastAsia="宋体"/>
          <w:b/>
          <w:color w:val="0070C0"/>
          <w:u w:val="single"/>
          <w:lang w:val="en-US" w:eastAsia="zh-CN"/>
        </w:rPr>
      </w:pPr>
      <w:r>
        <w:rPr>
          <w:b/>
          <w:color w:val="0070C0"/>
          <w:u w:val="single"/>
          <w:lang w:eastAsia="ko-KR"/>
        </w:rPr>
        <w:t>Issue 1-</w:t>
      </w:r>
      <w:r>
        <w:rPr>
          <w:rFonts w:hint="eastAsia"/>
          <w:b/>
          <w:color w:val="0070C0"/>
          <w:u w:val="single"/>
          <w:lang w:val="en-US" w:eastAsia="zh-CN"/>
        </w:rPr>
        <w:t>3-4</w:t>
      </w:r>
      <w:r>
        <w:rPr>
          <w:b/>
          <w:color w:val="0070C0"/>
          <w:u w:val="single"/>
          <w:lang w:eastAsia="ko-KR"/>
        </w:rPr>
        <w:t>:</w:t>
      </w:r>
      <w:r>
        <w:rPr>
          <w:rFonts w:hint="eastAsia" w:eastAsia="宋体"/>
          <w:b/>
          <w:color w:val="0070C0"/>
          <w:u w:val="single"/>
          <w:lang w:val="en-US" w:eastAsia="zh-CN"/>
        </w:rPr>
        <w:t xml:space="preserve"> UE capability about simultaneous Reception of Data and SSB with Different Numerology</w:t>
      </w:r>
    </w:p>
    <w:p w14:paraId="66321248">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5253BA46">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1: (Ericsson)</w:t>
      </w:r>
    </w:p>
    <w:p w14:paraId="39FCCACF">
      <w:pPr>
        <w:pStyle w:val="150"/>
        <w:numPr>
          <w:ilvl w:val="3"/>
          <w:numId w:val="4"/>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Discuss and support new UE capability to simultaneously perform the following tasks without requiring measurement gaps:</w:t>
      </w:r>
    </w:p>
    <w:p w14:paraId="560DFD54">
      <w:pPr>
        <w:pStyle w:val="150"/>
        <w:numPr>
          <w:ilvl w:val="4"/>
          <w:numId w:val="4"/>
        </w:numPr>
        <w:overflowPunct/>
        <w:autoSpaceDE/>
        <w:autoSpaceDN/>
        <w:adjustRightInd/>
        <w:spacing w:after="120"/>
        <w:ind w:left="2700" w:firstLineChars="0"/>
        <w:textAlignment w:val="auto"/>
        <w:rPr>
          <w:rFonts w:eastAsia="宋体"/>
          <w:color w:val="0070C0"/>
          <w:szCs w:val="24"/>
          <w:lang w:val="en-US" w:eastAsia="zh-CN"/>
        </w:rPr>
      </w:pPr>
      <w:r>
        <w:rPr>
          <w:rFonts w:hint="eastAsia" w:eastAsia="宋体"/>
          <w:color w:val="0070C0"/>
          <w:szCs w:val="24"/>
          <w:lang w:val="en-US" w:eastAsia="zh-CN"/>
        </w:rPr>
        <w:t>Receive scheduled DL data/control signals (PDSCH/PDCCH) on a serving cell.</w:t>
      </w:r>
    </w:p>
    <w:p w14:paraId="42450890">
      <w:pPr>
        <w:pStyle w:val="150"/>
        <w:numPr>
          <w:ilvl w:val="4"/>
          <w:numId w:val="4"/>
        </w:numPr>
        <w:overflowPunct/>
        <w:autoSpaceDE/>
        <w:autoSpaceDN/>
        <w:adjustRightInd/>
        <w:spacing w:after="120"/>
        <w:ind w:left="2700" w:firstLineChars="0"/>
        <w:textAlignment w:val="auto"/>
        <w:rPr>
          <w:rFonts w:eastAsia="宋体"/>
          <w:color w:val="0070C0"/>
          <w:szCs w:val="24"/>
          <w:lang w:val="en-US" w:eastAsia="zh-CN"/>
        </w:rPr>
      </w:pPr>
      <w:r>
        <w:rPr>
          <w:rFonts w:hint="eastAsia" w:eastAsia="宋体"/>
          <w:color w:val="0070C0"/>
          <w:szCs w:val="24"/>
          <w:lang w:val="en-US" w:eastAsia="zh-CN"/>
        </w:rPr>
        <w:t>Concurrently perform measurements on SSBs</w:t>
      </w:r>
      <w:r>
        <w:rPr>
          <w:rFonts w:eastAsia="宋体"/>
          <w:color w:val="0070C0"/>
          <w:szCs w:val="24"/>
          <w:lang w:val="en-US" w:eastAsia="zh-CN"/>
        </w:rPr>
        <w:t xml:space="preserve"> </w:t>
      </w:r>
      <w:r>
        <w:rPr>
          <w:rFonts w:hint="eastAsia" w:eastAsia="宋体"/>
          <w:color w:val="0070C0"/>
          <w:szCs w:val="24"/>
          <w:lang w:val="en-US" w:eastAsia="zh-CN"/>
        </w:rPr>
        <w:t>transmitted on inter-frequency or intra-frequency cells that have a different numerology (subcarrier spacing) from the scheduled serving cell.</w:t>
      </w:r>
    </w:p>
    <w:p w14:paraId="7B42F303">
      <w:pPr>
        <w:pStyle w:val="150"/>
        <w:numPr>
          <w:ilvl w:val="0"/>
          <w:numId w:val="4"/>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74278164">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Based on moderator</w:t>
      </w:r>
      <w:r>
        <w:rPr>
          <w:rFonts w:eastAsia="宋体"/>
          <w:color w:val="0070C0"/>
          <w:szCs w:val="24"/>
          <w:lang w:val="en-US" w:eastAsia="zh-CN"/>
        </w:rPr>
        <w:t>’</w:t>
      </w:r>
      <w:r>
        <w:rPr>
          <w:rFonts w:hint="eastAsia" w:eastAsia="宋体"/>
          <w:color w:val="0070C0"/>
          <w:szCs w:val="24"/>
          <w:lang w:val="en-US" w:eastAsia="zh-CN"/>
        </w:rPr>
        <w:t xml:space="preserve">s  knowledge, there has already existed one UE capability </w:t>
      </w:r>
      <w:r>
        <w:rPr>
          <w:rFonts w:eastAsia="宋体"/>
          <w:color w:val="0070C0"/>
          <w:szCs w:val="24"/>
          <w:lang w:val="en-US" w:eastAsia="zh-CN"/>
        </w:rPr>
        <w:t>‘</w:t>
      </w:r>
      <w:r>
        <w:rPr>
          <w:rFonts w:hint="eastAsia" w:eastAsia="宋体"/>
          <w:i/>
          <w:iCs/>
          <w:color w:val="0070C0"/>
          <w:szCs w:val="24"/>
          <w:lang w:val="en-US" w:eastAsia="zh-CN"/>
        </w:rPr>
        <w:t>simultaneousRxDataSSB-DiffNumerology</w:t>
      </w:r>
      <w:r>
        <w:rPr>
          <w:rFonts w:eastAsia="宋体"/>
          <w:i/>
          <w:iCs/>
          <w:color w:val="0070C0"/>
          <w:szCs w:val="24"/>
          <w:lang w:val="en-US" w:eastAsia="zh-CN"/>
        </w:rPr>
        <w:t>’</w:t>
      </w:r>
      <w:r>
        <w:rPr>
          <w:rFonts w:hint="eastAsia" w:eastAsia="宋体"/>
          <w:i/>
          <w:iCs/>
          <w:color w:val="0070C0"/>
          <w:szCs w:val="24"/>
          <w:lang w:val="en-US" w:eastAsia="zh-CN"/>
        </w:rPr>
        <w:t xml:space="preserve"> </w:t>
      </w:r>
      <w:r>
        <w:rPr>
          <w:rFonts w:hint="eastAsia" w:eastAsia="宋体"/>
          <w:color w:val="0070C0"/>
          <w:szCs w:val="24"/>
          <w:lang w:val="en-US" w:eastAsia="zh-CN"/>
        </w:rPr>
        <w:t>as described above.</w:t>
      </w:r>
    </w:p>
    <w:p w14:paraId="3693B98B">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To be discussed</w:t>
      </w:r>
    </w:p>
    <w:p w14:paraId="635613C7"/>
    <w:p w14:paraId="2ED872AF"/>
    <w:p w14:paraId="41E66609">
      <w:pPr>
        <w:pStyle w:val="150"/>
        <w:overflowPunct/>
        <w:autoSpaceDE/>
        <w:autoSpaceDN/>
        <w:adjustRightInd/>
        <w:spacing w:after="120"/>
        <w:ind w:firstLine="0" w:firstLineChars="0"/>
        <w:textAlignment w:val="auto"/>
        <w:rPr>
          <w:rFonts w:eastAsia="宋体"/>
          <w:color w:val="0070C0"/>
          <w:szCs w:val="24"/>
          <w:lang w:val="en-US" w:eastAsia="zh-CN"/>
        </w:rPr>
      </w:pPr>
    </w:p>
    <w:p w14:paraId="42003EE5">
      <w:pPr>
        <w:pStyle w:val="150"/>
        <w:overflowPunct/>
        <w:autoSpaceDE/>
        <w:autoSpaceDN/>
        <w:adjustRightInd/>
        <w:spacing w:after="120"/>
        <w:ind w:firstLine="0" w:firstLineChars="0"/>
        <w:textAlignment w:val="auto"/>
        <w:rPr>
          <w:rFonts w:eastAsia="宋体"/>
          <w:color w:val="0070C0"/>
          <w:szCs w:val="24"/>
          <w:lang w:val="en-US" w:eastAsia="zh-CN"/>
        </w:rPr>
      </w:pPr>
    </w:p>
    <w:p w14:paraId="42AF5F88">
      <w:pPr>
        <w:rPr>
          <w:b/>
          <w:color w:val="0070C0"/>
          <w:u w:val="single"/>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sans-serif">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155"/>
      <w:lvlText w:val="Proposal %1"/>
      <w:lvlJc w:val="left"/>
      <w:pPr>
        <w:tabs>
          <w:tab w:val="left" w:pos="1304"/>
        </w:tabs>
        <w:ind w:left="1304" w:hanging="1304"/>
      </w:pPr>
      <w:rPr>
        <w:rFonts w:hint="default"/>
      </w:rPr>
    </w:lvl>
    <w:lvl w:ilvl="1" w:tentative="0">
      <w:start w:val="1"/>
      <w:numFmt w:val="bullet"/>
      <w:lvlText w:val=""/>
      <w:lvlJc w:val="left"/>
      <w:pPr>
        <w:ind w:left="720" w:hanging="360"/>
      </w:pPr>
      <w:rPr>
        <w:rFonts w:hint="default" w:ascii="Symbol" w:hAnsi="Symbol"/>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
    <w:nsid w:val="5101505E"/>
    <w:multiLevelType w:val="multilevel"/>
    <w:tmpl w:val="5101505E"/>
    <w:lvl w:ilvl="0" w:tentative="0">
      <w:start w:val="1"/>
      <w:numFmt w:val="decimal"/>
      <w:pStyle w:val="15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8B73482"/>
    <w:multiLevelType w:val="multilevel"/>
    <w:tmpl w:val="58B73482"/>
    <w:lvl w:ilvl="0" w:tentative="0">
      <w:start w:val="1"/>
      <w:numFmt w:val="bullet"/>
      <w:lvlText w:val=""/>
      <w:lvlJc w:val="left"/>
      <w:pPr>
        <w:tabs>
          <w:tab w:val="left" w:pos="0"/>
        </w:tabs>
        <w:ind w:left="936" w:hanging="360"/>
      </w:pPr>
      <w:rPr>
        <w:rFonts w:hint="default" w:ascii="Symbol" w:hAnsi="Symbol"/>
      </w:rPr>
    </w:lvl>
    <w:lvl w:ilvl="1" w:tentative="0">
      <w:start w:val="1"/>
      <w:numFmt w:val="bullet"/>
      <w:lvlText w:val="o"/>
      <w:lvlJc w:val="left"/>
      <w:pPr>
        <w:tabs>
          <w:tab w:val="left" w:pos="0"/>
        </w:tabs>
        <w:ind w:left="1656" w:hanging="360"/>
      </w:pPr>
      <w:rPr>
        <w:rFonts w:hint="default" w:ascii="Courier New" w:hAnsi="Courier New" w:cs="Courier New"/>
      </w:rPr>
    </w:lvl>
    <w:lvl w:ilvl="2" w:tentative="0">
      <w:start w:val="1"/>
      <w:numFmt w:val="bullet"/>
      <w:lvlText w:val=""/>
      <w:lvlJc w:val="left"/>
      <w:pPr>
        <w:tabs>
          <w:tab w:val="left" w:pos="0"/>
        </w:tabs>
        <w:ind w:left="2376" w:hanging="360"/>
      </w:pPr>
      <w:rPr>
        <w:rFonts w:hint="default" w:ascii="Wingdings" w:hAnsi="Wingdings"/>
      </w:rPr>
    </w:lvl>
    <w:lvl w:ilvl="3" w:tentative="0">
      <w:start w:val="1"/>
      <w:numFmt w:val="bullet"/>
      <w:lvlText w:val=""/>
      <w:lvlJc w:val="left"/>
      <w:pPr>
        <w:tabs>
          <w:tab w:val="left" w:pos="0"/>
        </w:tabs>
        <w:ind w:left="3096" w:hanging="360"/>
      </w:pPr>
      <w:rPr>
        <w:rFonts w:hint="default" w:ascii="Symbol" w:hAnsi="Symbol"/>
      </w:rPr>
    </w:lvl>
    <w:lvl w:ilvl="4" w:tentative="0">
      <w:start w:val="1"/>
      <w:numFmt w:val="bullet"/>
      <w:lvlText w:val="o"/>
      <w:lvlJc w:val="left"/>
      <w:pPr>
        <w:tabs>
          <w:tab w:val="left" w:pos="0"/>
        </w:tabs>
        <w:ind w:left="3816" w:hanging="360"/>
      </w:pPr>
      <w:rPr>
        <w:rFonts w:hint="default" w:ascii="Courier New" w:hAnsi="Courier New" w:cs="Courier New"/>
      </w:rPr>
    </w:lvl>
    <w:lvl w:ilvl="5" w:tentative="0">
      <w:start w:val="1"/>
      <w:numFmt w:val="bullet"/>
      <w:lvlText w:val=""/>
      <w:lvlJc w:val="left"/>
      <w:pPr>
        <w:tabs>
          <w:tab w:val="left" w:pos="0"/>
        </w:tabs>
        <w:ind w:left="4536" w:hanging="360"/>
      </w:pPr>
      <w:rPr>
        <w:rFonts w:hint="default" w:ascii="Wingdings" w:hAnsi="Wingdings"/>
      </w:rPr>
    </w:lvl>
    <w:lvl w:ilvl="6" w:tentative="0">
      <w:start w:val="1"/>
      <w:numFmt w:val="bullet"/>
      <w:lvlText w:val=""/>
      <w:lvlJc w:val="left"/>
      <w:pPr>
        <w:tabs>
          <w:tab w:val="left" w:pos="0"/>
        </w:tabs>
        <w:ind w:left="5256" w:hanging="360"/>
      </w:pPr>
      <w:rPr>
        <w:rFonts w:hint="default" w:ascii="Symbol" w:hAnsi="Symbol"/>
      </w:rPr>
    </w:lvl>
    <w:lvl w:ilvl="7" w:tentative="0">
      <w:start w:val="1"/>
      <w:numFmt w:val="bullet"/>
      <w:lvlText w:val="o"/>
      <w:lvlJc w:val="left"/>
      <w:pPr>
        <w:tabs>
          <w:tab w:val="left" w:pos="0"/>
        </w:tabs>
        <w:ind w:left="5976" w:hanging="360"/>
      </w:pPr>
      <w:rPr>
        <w:rFonts w:hint="default" w:ascii="Courier New" w:hAnsi="Courier New" w:cs="Courier New"/>
      </w:rPr>
    </w:lvl>
    <w:lvl w:ilvl="8" w:tentative="0">
      <w:start w:val="1"/>
      <w:numFmt w:val="bullet"/>
      <w:lvlText w:val=""/>
      <w:lvlJc w:val="left"/>
      <w:pPr>
        <w:tabs>
          <w:tab w:val="left" w:pos="0"/>
        </w:tabs>
        <w:ind w:left="6696" w:hanging="360"/>
      </w:pPr>
      <w:rPr>
        <w:rFonts w:hint="default" w:ascii="Wingdings" w:hAnsi="Wingdings"/>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7I0MTS2MDM3MTK0tDBV0lEKTi0uzszPAykwrAUAl1EJNywAAAA="/>
  </w:docVars>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34E5"/>
    <w:rsid w:val="00107927"/>
    <w:rsid w:val="00110E26"/>
    <w:rsid w:val="00111321"/>
    <w:rsid w:val="001128E7"/>
    <w:rsid w:val="00117BD6"/>
    <w:rsid w:val="001206C2"/>
    <w:rsid w:val="00121978"/>
    <w:rsid w:val="00123422"/>
    <w:rsid w:val="00124B6A"/>
    <w:rsid w:val="00130462"/>
    <w:rsid w:val="00136D4C"/>
    <w:rsid w:val="00142538"/>
    <w:rsid w:val="00142BB9"/>
    <w:rsid w:val="001433CD"/>
    <w:rsid w:val="00144F96"/>
    <w:rsid w:val="00150DF2"/>
    <w:rsid w:val="00151EAC"/>
    <w:rsid w:val="00153528"/>
    <w:rsid w:val="00154E68"/>
    <w:rsid w:val="00162548"/>
    <w:rsid w:val="00172183"/>
    <w:rsid w:val="001751AB"/>
    <w:rsid w:val="00175A3F"/>
    <w:rsid w:val="00177423"/>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0535"/>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E60F8"/>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216D"/>
    <w:rsid w:val="004A495F"/>
    <w:rsid w:val="004A7544"/>
    <w:rsid w:val="004B6B0F"/>
    <w:rsid w:val="004C54E5"/>
    <w:rsid w:val="004C7DC8"/>
    <w:rsid w:val="004D21B0"/>
    <w:rsid w:val="004D66BB"/>
    <w:rsid w:val="004D737D"/>
    <w:rsid w:val="004E2659"/>
    <w:rsid w:val="004E39EE"/>
    <w:rsid w:val="004E475C"/>
    <w:rsid w:val="004E56E0"/>
    <w:rsid w:val="004E7329"/>
    <w:rsid w:val="004E774B"/>
    <w:rsid w:val="004F0A1A"/>
    <w:rsid w:val="004F2CB0"/>
    <w:rsid w:val="005017F7"/>
    <w:rsid w:val="00501FA7"/>
    <w:rsid w:val="005034DC"/>
    <w:rsid w:val="00505BFA"/>
    <w:rsid w:val="005071B4"/>
    <w:rsid w:val="00507687"/>
    <w:rsid w:val="005117A9"/>
    <w:rsid w:val="00511F57"/>
    <w:rsid w:val="00515CBE"/>
    <w:rsid w:val="00515E2B"/>
    <w:rsid w:val="00517517"/>
    <w:rsid w:val="00522A7E"/>
    <w:rsid w:val="00522F20"/>
    <w:rsid w:val="00523E9B"/>
    <w:rsid w:val="005308DB"/>
    <w:rsid w:val="00530A2E"/>
    <w:rsid w:val="00530FBE"/>
    <w:rsid w:val="00533159"/>
    <w:rsid w:val="005339DB"/>
    <w:rsid w:val="00534C89"/>
    <w:rsid w:val="00541573"/>
    <w:rsid w:val="0054348A"/>
    <w:rsid w:val="00571777"/>
    <w:rsid w:val="00572274"/>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1E99"/>
    <w:rsid w:val="006363BD"/>
    <w:rsid w:val="006412DC"/>
    <w:rsid w:val="006418C7"/>
    <w:rsid w:val="00642BC6"/>
    <w:rsid w:val="00642FDD"/>
    <w:rsid w:val="00644790"/>
    <w:rsid w:val="006501AF"/>
    <w:rsid w:val="00650DDE"/>
    <w:rsid w:val="0065253F"/>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7B39"/>
    <w:rsid w:val="006E0A73"/>
    <w:rsid w:val="006E0FEE"/>
    <w:rsid w:val="006E6C11"/>
    <w:rsid w:val="006F3D12"/>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668FE"/>
    <w:rsid w:val="007763C1"/>
    <w:rsid w:val="00777E82"/>
    <w:rsid w:val="00781218"/>
    <w:rsid w:val="00781359"/>
    <w:rsid w:val="00786921"/>
    <w:rsid w:val="007A1EAA"/>
    <w:rsid w:val="007A79FD"/>
    <w:rsid w:val="007B0B9D"/>
    <w:rsid w:val="007B26E3"/>
    <w:rsid w:val="007B5A43"/>
    <w:rsid w:val="007B5A8C"/>
    <w:rsid w:val="007B709B"/>
    <w:rsid w:val="007C1343"/>
    <w:rsid w:val="007C40ED"/>
    <w:rsid w:val="007C5EF1"/>
    <w:rsid w:val="007C7BF5"/>
    <w:rsid w:val="007D19B7"/>
    <w:rsid w:val="007D75E5"/>
    <w:rsid w:val="007D773E"/>
    <w:rsid w:val="007E066E"/>
    <w:rsid w:val="007E1356"/>
    <w:rsid w:val="007E20FC"/>
    <w:rsid w:val="007E7062"/>
    <w:rsid w:val="007F0E1E"/>
    <w:rsid w:val="007F29A7"/>
    <w:rsid w:val="008004B4"/>
    <w:rsid w:val="00805BE8"/>
    <w:rsid w:val="008076BC"/>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694A"/>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27B76"/>
    <w:rsid w:val="0093133D"/>
    <w:rsid w:val="0093276D"/>
    <w:rsid w:val="00932CA5"/>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3028"/>
    <w:rsid w:val="00B163F8"/>
    <w:rsid w:val="00B2472D"/>
    <w:rsid w:val="00B24CA0"/>
    <w:rsid w:val="00B2549F"/>
    <w:rsid w:val="00B4108D"/>
    <w:rsid w:val="00B50ACC"/>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FD1"/>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18"/>
    <w:rsid w:val="00C649BD"/>
    <w:rsid w:val="00C65891"/>
    <w:rsid w:val="00C66AC9"/>
    <w:rsid w:val="00C724D3"/>
    <w:rsid w:val="00C72951"/>
    <w:rsid w:val="00C77DD9"/>
    <w:rsid w:val="00C83BE6"/>
    <w:rsid w:val="00C85044"/>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A93"/>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68FD"/>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6542"/>
    <w:rsid w:val="00E40E90"/>
    <w:rsid w:val="00E45C7E"/>
    <w:rsid w:val="00E531EB"/>
    <w:rsid w:val="00E54874"/>
    <w:rsid w:val="00E54B6F"/>
    <w:rsid w:val="00E55ACA"/>
    <w:rsid w:val="00E57B74"/>
    <w:rsid w:val="00E65BC6"/>
    <w:rsid w:val="00E661FF"/>
    <w:rsid w:val="00E66D88"/>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5775"/>
    <w:rsid w:val="00EC74E1"/>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13B03A2"/>
    <w:rsid w:val="019B1928"/>
    <w:rsid w:val="01DB41B8"/>
    <w:rsid w:val="0274213D"/>
    <w:rsid w:val="02AF3174"/>
    <w:rsid w:val="03587A87"/>
    <w:rsid w:val="03832B7A"/>
    <w:rsid w:val="038375EC"/>
    <w:rsid w:val="03B0573C"/>
    <w:rsid w:val="044B7570"/>
    <w:rsid w:val="04F0022B"/>
    <w:rsid w:val="05624F7A"/>
    <w:rsid w:val="06133805"/>
    <w:rsid w:val="06B96F4F"/>
    <w:rsid w:val="06FA6D3D"/>
    <w:rsid w:val="073B391B"/>
    <w:rsid w:val="074E4245"/>
    <w:rsid w:val="08AD3699"/>
    <w:rsid w:val="09AC2471"/>
    <w:rsid w:val="09DE061D"/>
    <w:rsid w:val="0A4A77DC"/>
    <w:rsid w:val="0A94713A"/>
    <w:rsid w:val="0A9F6406"/>
    <w:rsid w:val="0B186F04"/>
    <w:rsid w:val="0B4E5A8C"/>
    <w:rsid w:val="0BA935EB"/>
    <w:rsid w:val="0C78593A"/>
    <w:rsid w:val="0C850212"/>
    <w:rsid w:val="0C967818"/>
    <w:rsid w:val="0CA447F2"/>
    <w:rsid w:val="0DF350DC"/>
    <w:rsid w:val="0E233EC8"/>
    <w:rsid w:val="0E402C43"/>
    <w:rsid w:val="0E9006B0"/>
    <w:rsid w:val="0E922575"/>
    <w:rsid w:val="0FEF358A"/>
    <w:rsid w:val="0FF30F6B"/>
    <w:rsid w:val="100174AB"/>
    <w:rsid w:val="10097D7D"/>
    <w:rsid w:val="10537FCE"/>
    <w:rsid w:val="10DB2168"/>
    <w:rsid w:val="10DC7C1E"/>
    <w:rsid w:val="111D6AE7"/>
    <w:rsid w:val="114B63AD"/>
    <w:rsid w:val="1271791F"/>
    <w:rsid w:val="130351FE"/>
    <w:rsid w:val="14204D87"/>
    <w:rsid w:val="1447029B"/>
    <w:rsid w:val="145C72AB"/>
    <w:rsid w:val="14E31512"/>
    <w:rsid w:val="15023540"/>
    <w:rsid w:val="150F669C"/>
    <w:rsid w:val="152625F6"/>
    <w:rsid w:val="15431D14"/>
    <w:rsid w:val="15F53D20"/>
    <w:rsid w:val="16383B80"/>
    <w:rsid w:val="165E2675"/>
    <w:rsid w:val="16CA5CEA"/>
    <w:rsid w:val="17192065"/>
    <w:rsid w:val="182525E8"/>
    <w:rsid w:val="187B5F6E"/>
    <w:rsid w:val="18C04157"/>
    <w:rsid w:val="18E253DF"/>
    <w:rsid w:val="19CD6A83"/>
    <w:rsid w:val="1A0205BE"/>
    <w:rsid w:val="1A9931F8"/>
    <w:rsid w:val="1B255C34"/>
    <w:rsid w:val="1BA45824"/>
    <w:rsid w:val="1C305473"/>
    <w:rsid w:val="1CCF4AF8"/>
    <w:rsid w:val="1D31706E"/>
    <w:rsid w:val="1D6447B3"/>
    <w:rsid w:val="1DF745D5"/>
    <w:rsid w:val="1E2F23E8"/>
    <w:rsid w:val="1E793AA0"/>
    <w:rsid w:val="1E7B0EC0"/>
    <w:rsid w:val="1E926723"/>
    <w:rsid w:val="1ED8342C"/>
    <w:rsid w:val="1EE02D7B"/>
    <w:rsid w:val="1F2E7067"/>
    <w:rsid w:val="1F50104A"/>
    <w:rsid w:val="1F5129CE"/>
    <w:rsid w:val="1FA31A49"/>
    <w:rsid w:val="1FD27BC4"/>
    <w:rsid w:val="1FF34D8B"/>
    <w:rsid w:val="20F4648F"/>
    <w:rsid w:val="215A2928"/>
    <w:rsid w:val="21CB425A"/>
    <w:rsid w:val="224C71F7"/>
    <w:rsid w:val="225221DB"/>
    <w:rsid w:val="22741317"/>
    <w:rsid w:val="23220863"/>
    <w:rsid w:val="23D214F2"/>
    <w:rsid w:val="23D7572A"/>
    <w:rsid w:val="242A5DD5"/>
    <w:rsid w:val="24613884"/>
    <w:rsid w:val="25510AD7"/>
    <w:rsid w:val="25644FE8"/>
    <w:rsid w:val="260F17F4"/>
    <w:rsid w:val="26EA3B85"/>
    <w:rsid w:val="27705D06"/>
    <w:rsid w:val="28140F56"/>
    <w:rsid w:val="28865DE8"/>
    <w:rsid w:val="288F2EFE"/>
    <w:rsid w:val="2AE46EBF"/>
    <w:rsid w:val="2B407556"/>
    <w:rsid w:val="2B7263AD"/>
    <w:rsid w:val="2D6476E5"/>
    <w:rsid w:val="2E2C6834"/>
    <w:rsid w:val="2F542C1E"/>
    <w:rsid w:val="2FB15DAE"/>
    <w:rsid w:val="3066600D"/>
    <w:rsid w:val="31EB5BE7"/>
    <w:rsid w:val="325D642B"/>
    <w:rsid w:val="32F62B96"/>
    <w:rsid w:val="344A1B60"/>
    <w:rsid w:val="346E1E0B"/>
    <w:rsid w:val="351B7F36"/>
    <w:rsid w:val="353D62C7"/>
    <w:rsid w:val="35403160"/>
    <w:rsid w:val="359A307E"/>
    <w:rsid w:val="364F003E"/>
    <w:rsid w:val="369B27E9"/>
    <w:rsid w:val="376A29B0"/>
    <w:rsid w:val="378A63D8"/>
    <w:rsid w:val="37950C89"/>
    <w:rsid w:val="37B224B3"/>
    <w:rsid w:val="3A7B60FF"/>
    <w:rsid w:val="3B0A15FC"/>
    <w:rsid w:val="3C2F4234"/>
    <w:rsid w:val="3C4F036E"/>
    <w:rsid w:val="3D695440"/>
    <w:rsid w:val="3D780732"/>
    <w:rsid w:val="3D7E055E"/>
    <w:rsid w:val="3D882245"/>
    <w:rsid w:val="3DB83E79"/>
    <w:rsid w:val="3E134B4A"/>
    <w:rsid w:val="3E4E5853"/>
    <w:rsid w:val="3E7A2E2A"/>
    <w:rsid w:val="3EDF2CB2"/>
    <w:rsid w:val="3F8045B8"/>
    <w:rsid w:val="3FDB3D91"/>
    <w:rsid w:val="3FE24C5D"/>
    <w:rsid w:val="40482C85"/>
    <w:rsid w:val="40A520DF"/>
    <w:rsid w:val="41040422"/>
    <w:rsid w:val="415B56A8"/>
    <w:rsid w:val="41840AF3"/>
    <w:rsid w:val="41DF49F3"/>
    <w:rsid w:val="41E44BCD"/>
    <w:rsid w:val="4269000C"/>
    <w:rsid w:val="4286778E"/>
    <w:rsid w:val="43074FDD"/>
    <w:rsid w:val="4314146E"/>
    <w:rsid w:val="43CA31E7"/>
    <w:rsid w:val="43D9684F"/>
    <w:rsid w:val="43E41959"/>
    <w:rsid w:val="43F752A9"/>
    <w:rsid w:val="44752AFA"/>
    <w:rsid w:val="45096606"/>
    <w:rsid w:val="45A90B67"/>
    <w:rsid w:val="462670C8"/>
    <w:rsid w:val="462F3536"/>
    <w:rsid w:val="465B65FA"/>
    <w:rsid w:val="46855B76"/>
    <w:rsid w:val="46C87292"/>
    <w:rsid w:val="470B6145"/>
    <w:rsid w:val="473144AB"/>
    <w:rsid w:val="474552A5"/>
    <w:rsid w:val="478047D1"/>
    <w:rsid w:val="48D86BCC"/>
    <w:rsid w:val="49895ADF"/>
    <w:rsid w:val="49A164CD"/>
    <w:rsid w:val="4A060879"/>
    <w:rsid w:val="4A5E3A9E"/>
    <w:rsid w:val="4A5E572C"/>
    <w:rsid w:val="4B0642B9"/>
    <w:rsid w:val="4B1D287A"/>
    <w:rsid w:val="4B527752"/>
    <w:rsid w:val="4C050A34"/>
    <w:rsid w:val="4C96578E"/>
    <w:rsid w:val="4D875BEC"/>
    <w:rsid w:val="4DFC2F7C"/>
    <w:rsid w:val="4F1B6016"/>
    <w:rsid w:val="4F2F4165"/>
    <w:rsid w:val="4FBE262B"/>
    <w:rsid w:val="506B50C2"/>
    <w:rsid w:val="50A60305"/>
    <w:rsid w:val="50EE4250"/>
    <w:rsid w:val="51C226C2"/>
    <w:rsid w:val="52331D9E"/>
    <w:rsid w:val="531C37D2"/>
    <w:rsid w:val="545C59BA"/>
    <w:rsid w:val="553878F3"/>
    <w:rsid w:val="553D09E4"/>
    <w:rsid w:val="559D4889"/>
    <w:rsid w:val="56180E0F"/>
    <w:rsid w:val="5654756A"/>
    <w:rsid w:val="5669446A"/>
    <w:rsid w:val="567D66A3"/>
    <w:rsid w:val="56B022ED"/>
    <w:rsid w:val="574845EA"/>
    <w:rsid w:val="57D7125C"/>
    <w:rsid w:val="58270DD5"/>
    <w:rsid w:val="58425BDC"/>
    <w:rsid w:val="588A5FA1"/>
    <w:rsid w:val="58AE3BF1"/>
    <w:rsid w:val="59A6316C"/>
    <w:rsid w:val="5A081245"/>
    <w:rsid w:val="5A30682D"/>
    <w:rsid w:val="5A860FA9"/>
    <w:rsid w:val="5A983E52"/>
    <w:rsid w:val="5AA9184E"/>
    <w:rsid w:val="5C3862D5"/>
    <w:rsid w:val="5D5552A6"/>
    <w:rsid w:val="5D674541"/>
    <w:rsid w:val="5EFD4B82"/>
    <w:rsid w:val="5F04137C"/>
    <w:rsid w:val="5F0C525B"/>
    <w:rsid w:val="5F1C1554"/>
    <w:rsid w:val="5F3C1AF1"/>
    <w:rsid w:val="5F8815CE"/>
    <w:rsid w:val="5F8F25C5"/>
    <w:rsid w:val="5F907AC2"/>
    <w:rsid w:val="5FF941A8"/>
    <w:rsid w:val="60282A5E"/>
    <w:rsid w:val="602F3CED"/>
    <w:rsid w:val="604C687B"/>
    <w:rsid w:val="608367C1"/>
    <w:rsid w:val="60971CC0"/>
    <w:rsid w:val="611D45C9"/>
    <w:rsid w:val="61633B40"/>
    <w:rsid w:val="62ED1743"/>
    <w:rsid w:val="62F513F5"/>
    <w:rsid w:val="634B3941"/>
    <w:rsid w:val="63B50067"/>
    <w:rsid w:val="64275947"/>
    <w:rsid w:val="6439706D"/>
    <w:rsid w:val="645E6BE1"/>
    <w:rsid w:val="64957C27"/>
    <w:rsid w:val="655149AB"/>
    <w:rsid w:val="664E16FC"/>
    <w:rsid w:val="66AE573C"/>
    <w:rsid w:val="66AF0C49"/>
    <w:rsid w:val="66ED0C0D"/>
    <w:rsid w:val="67ED1271"/>
    <w:rsid w:val="688F43D9"/>
    <w:rsid w:val="68F16099"/>
    <w:rsid w:val="692708E7"/>
    <w:rsid w:val="69A5422C"/>
    <w:rsid w:val="6A2836F3"/>
    <w:rsid w:val="6A523116"/>
    <w:rsid w:val="6ACA0628"/>
    <w:rsid w:val="6AE24FE6"/>
    <w:rsid w:val="6AEE215C"/>
    <w:rsid w:val="6B186407"/>
    <w:rsid w:val="6B546546"/>
    <w:rsid w:val="6BD620BB"/>
    <w:rsid w:val="6BF905D1"/>
    <w:rsid w:val="6C2C673B"/>
    <w:rsid w:val="6C867292"/>
    <w:rsid w:val="6CE17E70"/>
    <w:rsid w:val="6D2E042E"/>
    <w:rsid w:val="6D57575C"/>
    <w:rsid w:val="6D975301"/>
    <w:rsid w:val="6E0B271A"/>
    <w:rsid w:val="6E186783"/>
    <w:rsid w:val="6E701553"/>
    <w:rsid w:val="6E8D663F"/>
    <w:rsid w:val="6EC402E8"/>
    <w:rsid w:val="6EE34CB1"/>
    <w:rsid w:val="6F047644"/>
    <w:rsid w:val="703A29CC"/>
    <w:rsid w:val="704508E5"/>
    <w:rsid w:val="707B1974"/>
    <w:rsid w:val="7194178F"/>
    <w:rsid w:val="728621FC"/>
    <w:rsid w:val="72A81AFA"/>
    <w:rsid w:val="72C458EB"/>
    <w:rsid w:val="72DC21BF"/>
    <w:rsid w:val="731A3BDF"/>
    <w:rsid w:val="737C66E7"/>
    <w:rsid w:val="74C81318"/>
    <w:rsid w:val="74F81C5C"/>
    <w:rsid w:val="75205073"/>
    <w:rsid w:val="75821FAC"/>
    <w:rsid w:val="75B63268"/>
    <w:rsid w:val="75BB1D4B"/>
    <w:rsid w:val="7737167D"/>
    <w:rsid w:val="773A759B"/>
    <w:rsid w:val="77EC2636"/>
    <w:rsid w:val="77FC57CA"/>
    <w:rsid w:val="78081232"/>
    <w:rsid w:val="78505037"/>
    <w:rsid w:val="786A3105"/>
    <w:rsid w:val="78BF6FA7"/>
    <w:rsid w:val="78FD4162"/>
    <w:rsid w:val="791B6F56"/>
    <w:rsid w:val="798219E8"/>
    <w:rsid w:val="79CE2B07"/>
    <w:rsid w:val="7A3F2E89"/>
    <w:rsid w:val="7A6413DB"/>
    <w:rsid w:val="7A6604A0"/>
    <w:rsid w:val="7B08121D"/>
    <w:rsid w:val="7BD254C9"/>
    <w:rsid w:val="7D2C6F0C"/>
    <w:rsid w:val="7DB361DB"/>
    <w:rsid w:val="7E6A3EA6"/>
    <w:rsid w:val="7EA473E9"/>
    <w:rsid w:val="7EF830C8"/>
    <w:rsid w:val="7FAA5C04"/>
  </w:rsids>
  <m:mathPr>
    <m:mathFont m:val="Cambria Math"/>
    <m:brkBin m:val="before"/>
    <m:brkBinSub m:val="--"/>
    <m:smallFrac m:val="0"/>
    <m:dispDef/>
    <m:lMargin m:val="0"/>
    <m:rMargin m:val="0"/>
    <m:defJc m:val="centerGroup"/>
    <m:wrapIndent m:val="1440"/>
    <m:intLim m:val="subSup"/>
    <m:naryLim m:val="undOvr"/>
  </m:mathPr>
  <w:themeFontLang w:val="sv-SE"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numPr>
        <w:ilvl w:val="1"/>
      </w:numPr>
      <w:pBdr>
        <w:top w:val="none" w:color="auto" w:sz="0" w:space="0"/>
      </w:pBdr>
      <w:spacing w:before="180"/>
      <w:ind w:left="576"/>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59"/>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basedOn w:val="1"/>
    <w:link w:val="109"/>
    <w:qFormat/>
    <w:uiPriority w:val="0"/>
    <w:pPr>
      <w:widowControl w:val="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overflowPunct w:val="0"/>
      <w:autoSpaceDE w:val="0"/>
      <w:autoSpaceDN w:val="0"/>
      <w:adjustRightInd w:val="0"/>
      <w:spacing w:after="120"/>
      <w:ind w:left="1701" w:hanging="1701"/>
      <w:textAlignment w:val="baseline"/>
    </w:pPr>
    <w:rPr>
      <w:rFonts w:ascii="Arial" w:hAnsi="Arial" w:eastAsia="Times New Roman"/>
      <w:b/>
      <w:lang w:eastAsia="zh-CN"/>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character" w:customStyle="1" w:styleId="59">
    <w:name w:val="批注框文本 Char"/>
    <w:link w:val="37"/>
    <w:qFormat/>
    <w:uiPriority w:val="0"/>
    <w:rPr>
      <w:sz w:val="18"/>
      <w:szCs w:val="18"/>
      <w:lang w:val="en-GB" w:eastAsia="en-US"/>
    </w:rPr>
  </w:style>
  <w:style w:type="paragraph" w:customStyle="1" w:styleId="60">
    <w:name w:val="EQ"/>
    <w:basedOn w:val="1"/>
    <w:next w:val="1"/>
    <w:link w:val="151"/>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5"/>
    <w:qFormat/>
    <w:uiPriority w:val="0"/>
    <w:pPr>
      <w:keepLines/>
      <w:ind w:left="1135" w:hanging="851"/>
    </w:pPr>
    <w:rPr>
      <w:lang w:val="zh-CN"/>
    </w:rPr>
  </w:style>
  <w:style w:type="paragraph" w:customStyle="1" w:styleId="66">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2"/>
    <w:qFormat/>
    <w:uiPriority w:val="0"/>
    <w:pPr>
      <w:keepNext/>
      <w:keepLines/>
      <w:spacing w:after="0"/>
    </w:pPr>
    <w:rPr>
      <w:rFonts w:ascii="Arial" w:hAnsi="Arial"/>
      <w:sz w:val="18"/>
      <w:lang w:val="zh-CN"/>
    </w:rPr>
  </w:style>
  <w:style w:type="paragraph" w:customStyle="1" w:styleId="69">
    <w:name w:val="TAH"/>
    <w:basedOn w:val="70"/>
    <w:link w:val="104"/>
    <w:qFormat/>
    <w:uiPriority w:val="0"/>
    <w:rPr>
      <w:b/>
    </w:rPr>
  </w:style>
  <w:style w:type="paragraph" w:customStyle="1" w:styleId="70">
    <w:name w:val="TAC"/>
    <w:basedOn w:val="68"/>
    <w:link w:val="113"/>
    <w:qFormat/>
    <w:uiPriority w:val="0"/>
    <w:pPr>
      <w:jc w:val="center"/>
    </w:pPr>
  </w:style>
  <w:style w:type="paragraph" w:customStyle="1" w:styleId="71">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4"/>
    <w:link w:val="121"/>
    <w:qFormat/>
    <w:uiPriority w:val="0"/>
  </w:style>
  <w:style w:type="paragraph" w:customStyle="1" w:styleId="77">
    <w:name w:val="Editor's Note"/>
    <w:basedOn w:val="65"/>
    <w:qFormat/>
    <w:uiPriority w:val="0"/>
    <w:rPr>
      <w:color w:val="FF0000"/>
    </w:rPr>
  </w:style>
  <w:style w:type="paragraph" w:customStyle="1" w:styleId="78">
    <w:name w:val="TH"/>
    <w:basedOn w:val="1"/>
    <w:link w:val="103"/>
    <w:qFormat/>
    <w:uiPriority w:val="0"/>
    <w:pPr>
      <w:keepNext/>
      <w:keepLines/>
      <w:spacing w:before="60"/>
      <w:jc w:val="center"/>
    </w:pPr>
    <w:rPr>
      <w:rFonts w:ascii="Arial" w:hAnsi="Arial"/>
      <w:b/>
      <w:lang w:val="zh-CN"/>
    </w:r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3">
    <w:name w:val="TAN"/>
    <w:basedOn w:val="68"/>
    <w:link w:val="115"/>
    <w:qFormat/>
    <w:uiPriority w:val="0"/>
    <w:pPr>
      <w:ind w:left="851" w:hanging="851"/>
    </w:pPr>
  </w:style>
  <w:style w:type="paragraph" w:customStyle="1" w:styleId="8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5">
    <w:name w:val="TF"/>
    <w:basedOn w:val="78"/>
    <w:qFormat/>
    <w:uiPriority w:val="0"/>
    <w:pPr>
      <w:keepNext w:val="0"/>
      <w:spacing w:before="0" w:after="240"/>
    </w:pPr>
  </w:style>
  <w:style w:type="paragraph" w:customStyle="1" w:styleId="8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8"/>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8"/>
    <w:qFormat/>
    <w:uiPriority w:val="0"/>
    <w:rPr>
      <w:rFonts w:ascii="Arial" w:hAnsi="Arial"/>
      <w:sz w:val="18"/>
      <w:lang w:eastAsia="en-US"/>
    </w:rPr>
  </w:style>
  <w:style w:type="character" w:customStyle="1" w:styleId="103">
    <w:name w:val="TH Char"/>
    <w:link w:val="78"/>
    <w:qFormat/>
    <w:uiPriority w:val="0"/>
    <w:rPr>
      <w:rFonts w:ascii="Arial" w:hAnsi="Arial"/>
      <w:b/>
      <w:lang w:eastAsia="en-US"/>
    </w:rPr>
  </w:style>
  <w:style w:type="character" w:customStyle="1" w:styleId="104">
    <w:name w:val="TAH Car"/>
    <w:link w:val="69"/>
    <w:qFormat/>
    <w:uiPriority w:val="0"/>
    <w:rPr>
      <w:rFonts w:ascii="Arial" w:hAnsi="Arial"/>
      <w:b/>
      <w:sz w:val="18"/>
      <w:lang w:eastAsia="en-US"/>
    </w:rPr>
  </w:style>
  <w:style w:type="character" w:customStyle="1" w:styleId="105">
    <w:name w:val="NO Char"/>
    <w:link w:val="65"/>
    <w:qFormat/>
    <w:uiPriority w:val="0"/>
    <w:rPr>
      <w:lang w:eastAsia="en-US"/>
    </w:rPr>
  </w:style>
  <w:style w:type="character" w:customStyle="1" w:styleId="106">
    <w:name w:val="标题 2 Char"/>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标题 1 Char"/>
    <w:link w:val="2"/>
    <w:qFormat/>
    <w:uiPriority w:val="0"/>
    <w:rPr>
      <w:rFonts w:ascii="Arial" w:hAnsi="Arial"/>
      <w:sz w:val="36"/>
      <w:lang w:eastAsia="en-US" w:bidi="ar-SA"/>
    </w:rPr>
  </w:style>
  <w:style w:type="character" w:customStyle="1" w:styleId="109">
    <w:name w:val="页眉 Char"/>
    <w:link w:val="39"/>
    <w:qFormat/>
    <w:uiPriority w:val="0"/>
    <w:rPr>
      <w:rFonts w:ascii="Arial" w:hAnsi="Arial"/>
      <w:b/>
      <w:sz w:val="18"/>
      <w:lang w:val="en-GB" w:bidi="ar-SA"/>
    </w:rPr>
  </w:style>
  <w:style w:type="character" w:customStyle="1" w:styleId="110">
    <w:name w:val="批注文字 Char"/>
    <w:link w:val="30"/>
    <w:qFormat/>
    <w:uiPriority w:val="99"/>
    <w:rPr>
      <w:lang w:val="en-GB" w:eastAsia="en-US"/>
    </w:rPr>
  </w:style>
  <w:style w:type="character" w:customStyle="1" w:styleId="111">
    <w:name w:val="批注主题 Char"/>
    <w:basedOn w:val="110"/>
    <w:qFormat/>
    <w:uiPriority w:val="0"/>
    <w:rPr>
      <w:lang w:val="en-GB" w:eastAsia="en-US"/>
    </w:rPr>
  </w:style>
  <w:style w:type="paragraph" w:customStyle="1" w:styleId="112">
    <w:name w:val="修订1"/>
    <w:hidden/>
    <w:semiHidden/>
    <w:qFormat/>
    <w:uiPriority w:val="99"/>
    <w:rPr>
      <w:rFonts w:ascii="Times New Roman" w:hAnsi="Times New Roman" w:eastAsia="宋体" w:cs="Times New Roman"/>
      <w:lang w:val="en-GB" w:eastAsia="en-US" w:bidi="ar-SA"/>
    </w:rPr>
  </w:style>
  <w:style w:type="character" w:customStyle="1" w:styleId="113">
    <w:name w:val="TAC Char"/>
    <w:link w:val="70"/>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3"/>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标题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6"/>
    <w:qFormat/>
    <w:uiPriority w:val="0"/>
    <w:rPr>
      <w:lang w:val="en-GB"/>
    </w:rPr>
  </w:style>
  <w:style w:type="character" w:customStyle="1" w:styleId="122">
    <w:name w:val="题注 Char"/>
    <w:link w:val="28"/>
    <w:qFormat/>
    <w:uiPriority w:val="0"/>
    <w:rPr>
      <w:b/>
      <w:lang w:val="en-GB"/>
    </w:rPr>
  </w:style>
  <w:style w:type="character" w:customStyle="1" w:styleId="123">
    <w:name w:val="标题 3 Char"/>
    <w:link w:val="4"/>
    <w:qFormat/>
    <w:uiPriority w:val="0"/>
    <w:rPr>
      <w:rFonts w:ascii="Arial" w:hAnsi="Arial"/>
      <w:sz w:val="28"/>
      <w:lang w:eastAsia="en-US"/>
    </w:rPr>
  </w:style>
  <w:style w:type="character" w:customStyle="1" w:styleId="124">
    <w:name w:val="正文文本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纯文本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批注主题 Char1"/>
    <w:link w:val="49"/>
    <w:qFormat/>
    <w:uiPriority w:val="99"/>
    <w:rPr>
      <w:b/>
      <w:bCs/>
      <w:lang w:val="en-GB" w:eastAsia="en-US"/>
    </w:rPr>
  </w:style>
  <w:style w:type="character" w:customStyle="1" w:styleId="131">
    <w:name w:val="不明显参考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页脚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标题 4 Char"/>
    <w:basedOn w:val="52"/>
    <w:link w:val="5"/>
    <w:qFormat/>
    <w:uiPriority w:val="0"/>
    <w:rPr>
      <w:rFonts w:ascii="Arial" w:hAnsi="Arial"/>
      <w:sz w:val="24"/>
      <w:lang w:eastAsia="en-US"/>
    </w:rPr>
  </w:style>
  <w:style w:type="character" w:customStyle="1" w:styleId="137">
    <w:name w:val="标题 5 Char"/>
    <w:basedOn w:val="52"/>
    <w:link w:val="6"/>
    <w:qFormat/>
    <w:uiPriority w:val="0"/>
    <w:rPr>
      <w:rFonts w:ascii="Arial" w:hAnsi="Arial"/>
      <w:sz w:val="22"/>
      <w:lang w:eastAsia="en-US"/>
    </w:rPr>
  </w:style>
  <w:style w:type="character" w:customStyle="1" w:styleId="138">
    <w:name w:val="标题 6 Char"/>
    <w:basedOn w:val="52"/>
    <w:link w:val="7"/>
    <w:qFormat/>
    <w:uiPriority w:val="0"/>
    <w:rPr>
      <w:rFonts w:ascii="Arial" w:hAnsi="Arial"/>
      <w:lang w:eastAsia="en-US"/>
    </w:rPr>
  </w:style>
  <w:style w:type="character" w:customStyle="1" w:styleId="139">
    <w:name w:val="标题 7 Char"/>
    <w:basedOn w:val="52"/>
    <w:link w:val="9"/>
    <w:qFormat/>
    <w:uiPriority w:val="0"/>
    <w:rPr>
      <w:rFonts w:ascii="Arial" w:hAnsi="Arial"/>
      <w:lang w:eastAsia="en-US"/>
    </w:rPr>
  </w:style>
  <w:style w:type="character" w:customStyle="1" w:styleId="140">
    <w:name w:val="标题 9 Char"/>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正文文本缩进 2 Char"/>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尾注文本 Char"/>
    <w:basedOn w:val="52"/>
    <w:link w:val="36"/>
    <w:qFormat/>
    <w:uiPriority w:val="0"/>
    <w:rPr>
      <w:rFonts w:eastAsia="Yu Mincho"/>
      <w:lang w:val="en-GB" w:eastAsia="en-US"/>
    </w:rPr>
  </w:style>
  <w:style w:type="character" w:customStyle="1" w:styleId="145">
    <w:name w:val="脚注文本 Char"/>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60"/>
    <w:qFormat/>
    <w:locked/>
    <w:uiPriority w:val="0"/>
    <w:rPr>
      <w:lang w:val="en-GB" w:eastAsia="en-US"/>
    </w:rPr>
  </w:style>
  <w:style w:type="character" w:customStyle="1" w:styleId="152">
    <w:name w:val="PL Char"/>
    <w:link w:val="66"/>
    <w:qFormat/>
    <w:uiPriority w:val="0"/>
    <w:rPr>
      <w:rFonts w:ascii="Courier New" w:hAnsi="Courier New"/>
      <w:sz w:val="16"/>
      <w:lang w:val="en-GB" w:eastAsia="en-US"/>
    </w:rPr>
  </w:style>
  <w:style w:type="character" w:customStyle="1" w:styleId="153">
    <w:name w:val="列出段落 Char"/>
    <w:link w:val="150"/>
    <w:qFormat/>
    <w:locked/>
    <w:uiPriority w:val="34"/>
    <w:rPr>
      <w:rFonts w:eastAsia="MS Mincho"/>
      <w:lang w:val="en-GB" w:eastAsia="en-US"/>
    </w:rPr>
  </w:style>
  <w:style w:type="character" w:customStyle="1" w:styleId="154">
    <w:name w:val="文稿抬头"/>
    <w:qFormat/>
    <w:uiPriority w:val="0"/>
    <w:rPr>
      <w:rFonts w:eastAsia="MS Mincho"/>
      <w:b/>
      <w:bCs/>
      <w:sz w:val="24"/>
    </w:rPr>
  </w:style>
  <w:style w:type="paragraph" w:customStyle="1" w:styleId="155">
    <w:name w:val="Proposal"/>
    <w:basedOn w:val="31"/>
    <w:qFormat/>
    <w:uiPriority w:val="0"/>
    <w:pPr>
      <w:numPr>
        <w:ilvl w:val="0"/>
        <w:numId w:val="2"/>
      </w:numPr>
      <w:tabs>
        <w:tab w:val="left" w:pos="1701"/>
      </w:tabs>
      <w:overflowPunct w:val="0"/>
      <w:autoSpaceDE w:val="0"/>
      <w:autoSpaceDN w:val="0"/>
      <w:adjustRightInd w:val="0"/>
      <w:spacing w:after="120"/>
      <w:jc w:val="both"/>
      <w:textAlignment w:val="baseline"/>
    </w:pPr>
    <w:rPr>
      <w:rFonts w:ascii="Arial" w:hAnsi="Arial" w:eastAsia="Times New Roman"/>
      <w:b/>
      <w:bCs/>
      <w:lang w:eastAsia="zh-CN"/>
    </w:rPr>
  </w:style>
  <w:style w:type="paragraph" w:customStyle="1" w:styleId="156">
    <w:name w:val="수정1"/>
    <w:hidden/>
    <w:semiHidden/>
    <w:qFormat/>
    <w:uiPriority w:val="99"/>
    <w:rPr>
      <w:rFonts w:ascii="Times New Roman" w:hAnsi="Times New Roman" w:eastAsia="宋体" w:cs="Times New Roman"/>
      <w:lang w:val="en-GB" w:eastAsia="en-US" w:bidi="ar-SA"/>
    </w:rPr>
  </w:style>
  <w:style w:type="paragraph" w:customStyle="1" w:styleId="157">
    <w:name w:val="Observation"/>
    <w:basedOn w:val="155"/>
    <w:qFormat/>
    <w:uiPriority w:val="0"/>
    <w:pPr>
      <w:numPr>
        <w:ilvl w:val="0"/>
        <w:numId w:val="3"/>
      </w:numPr>
    </w:pPr>
    <w:rPr>
      <w:lang w:eastAsia="ja-JP"/>
    </w:rPr>
  </w:style>
  <w:style w:type="paragraph" w:customStyle="1" w:styleId="158">
    <w:name w:val="Revision1"/>
    <w:hidden/>
    <w:unhideWhenUsed/>
    <w:qFormat/>
    <w:uiPriority w:val="99"/>
    <w:rPr>
      <w:rFonts w:ascii="Times New Roman" w:hAnsi="Times New Roman" w:eastAsia="宋体" w:cs="Times New Roman"/>
      <w:lang w:val="en-GB" w:eastAsia="en-US" w:bidi="ar-SA"/>
    </w:rPr>
  </w:style>
  <w:style w:type="paragraph" w:customStyle="1" w:styleId="159">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31E06-5074-4822-BF86-67D00AAA4DF9}">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11</Pages>
  <Words>9328</Words>
  <Characters>53170</Characters>
  <Lines>443</Lines>
  <Paragraphs>124</Paragraphs>
  <TotalTime>77</TotalTime>
  <ScaleCrop>false</ScaleCrop>
  <LinksUpToDate>false</LinksUpToDate>
  <CharactersWithSpaces>62374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2025-04-02T22:00:00Z</dcterms:created>
  <dc:creator>양윤오/책임연구원/미래기술센터 C&amp;M표준(연)5G무선통신표준Task(yoonoh.yang@lge.com)</dc:creator>
  <cp:lastModifiedBy>CMCC-shiyuan-V2</cp:lastModifiedBy>
  <cp:lastPrinted>2019-04-25T01:09:00Z</cp:lastPrinted>
  <dcterms:modified xsi:type="dcterms:W3CDTF">2025-04-10T23:38:01Z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2052-12.8.2.18205</vt:lpwstr>
  </property>
  <property fmtid="{D5CDD505-2E9C-101B-9397-08002B2CF9AE}" pid="17" name="ICV">
    <vt:lpwstr>BFE823C913CC4F9EB2052968C5C2C9E6_13</vt:lpwstr>
  </property>
  <property fmtid="{D5CDD505-2E9C-101B-9397-08002B2CF9AE}" pid="18" name="GrammarlyDocumentId">
    <vt:lpwstr>b8c289530a967d0ab14d7b1c998a73c36b73bbdae3c26afdcd3959be207e48f5</vt:lpwstr>
  </property>
</Properties>
</file>